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8DD" w:rsidRPr="00FD3F57" w:rsidRDefault="005538AC" w:rsidP="00422668">
      <w:pPr>
        <w:widowControl w:val="0"/>
        <w:tabs>
          <w:tab w:val="left" w:pos="780"/>
          <w:tab w:val="left" w:pos="1680"/>
          <w:tab w:val="left" w:pos="2920"/>
          <w:tab w:val="left" w:pos="3400"/>
          <w:tab w:val="left" w:pos="4700"/>
          <w:tab w:val="left" w:pos="6660"/>
          <w:tab w:val="left" w:pos="7320"/>
          <w:tab w:val="left" w:pos="8020"/>
          <w:tab w:val="left" w:pos="8960"/>
        </w:tabs>
        <w:autoSpaceDE w:val="0"/>
        <w:autoSpaceDN w:val="0"/>
        <w:adjustRightInd w:val="0"/>
        <w:spacing w:after="0" w:line="360" w:lineRule="auto"/>
        <w:ind w:right="68"/>
        <w:jc w:val="center"/>
        <w:rPr>
          <w:rFonts w:asciiTheme="majorBidi" w:hAnsiTheme="majorBidi" w:cstheme="majorBidi"/>
          <w:b/>
          <w:bCs/>
          <w:sz w:val="28"/>
          <w:szCs w:val="28"/>
        </w:rPr>
      </w:pPr>
      <w:r w:rsidRPr="00FD3F57">
        <w:rPr>
          <w:rFonts w:asciiTheme="majorBidi" w:hAnsiTheme="majorBidi" w:cstheme="majorBidi"/>
          <w:b/>
          <w:bCs/>
          <w:sz w:val="28"/>
          <w:szCs w:val="28"/>
        </w:rPr>
        <w:t>PARTIE 2</w:t>
      </w:r>
      <w:r w:rsidR="002B78DD" w:rsidRPr="00FD3F57">
        <w:rPr>
          <w:rFonts w:asciiTheme="majorBidi" w:hAnsiTheme="majorBidi" w:cstheme="majorBidi"/>
          <w:b/>
          <w:bCs/>
          <w:sz w:val="28"/>
          <w:szCs w:val="28"/>
        </w:rPr>
        <w:t> :</w:t>
      </w:r>
    </w:p>
    <w:p w:rsidR="00A36A02" w:rsidRPr="00FD3F57" w:rsidRDefault="002B78DD" w:rsidP="00422668">
      <w:pPr>
        <w:widowControl w:val="0"/>
        <w:tabs>
          <w:tab w:val="left" w:pos="780"/>
          <w:tab w:val="left" w:pos="1680"/>
          <w:tab w:val="left" w:pos="2920"/>
          <w:tab w:val="left" w:pos="3400"/>
          <w:tab w:val="left" w:pos="4700"/>
          <w:tab w:val="left" w:pos="6660"/>
          <w:tab w:val="left" w:pos="7320"/>
          <w:tab w:val="left" w:pos="8020"/>
          <w:tab w:val="left" w:pos="8960"/>
        </w:tabs>
        <w:autoSpaceDE w:val="0"/>
        <w:autoSpaceDN w:val="0"/>
        <w:adjustRightInd w:val="0"/>
        <w:spacing w:after="0" w:line="360" w:lineRule="auto"/>
        <w:ind w:left="117" w:right="68"/>
        <w:jc w:val="center"/>
        <w:rPr>
          <w:rFonts w:asciiTheme="majorBidi" w:hAnsiTheme="majorBidi" w:cstheme="majorBidi"/>
          <w:b/>
          <w:bCs/>
          <w:sz w:val="28"/>
          <w:szCs w:val="28"/>
        </w:rPr>
      </w:pPr>
      <w:r w:rsidRPr="00FD3F57">
        <w:rPr>
          <w:rFonts w:asciiTheme="majorBidi" w:hAnsiTheme="majorBidi" w:cstheme="majorBidi"/>
          <w:b/>
          <w:bCs/>
          <w:sz w:val="28"/>
          <w:szCs w:val="28"/>
        </w:rPr>
        <w:t>CONTRÔLE DES MATÉRIAUX PAR ULTRASONS</w:t>
      </w:r>
    </w:p>
    <w:p w:rsidR="002B78DD" w:rsidRPr="00FD3F57" w:rsidRDefault="002B78DD" w:rsidP="00422668">
      <w:pPr>
        <w:widowControl w:val="0"/>
        <w:tabs>
          <w:tab w:val="left" w:pos="1480"/>
        </w:tabs>
        <w:autoSpaceDE w:val="0"/>
        <w:autoSpaceDN w:val="0"/>
        <w:adjustRightInd w:val="0"/>
        <w:spacing w:after="0" w:line="360" w:lineRule="auto"/>
        <w:ind w:right="923"/>
        <w:jc w:val="both"/>
        <w:rPr>
          <w:rFonts w:asciiTheme="majorBidi" w:hAnsiTheme="majorBidi" w:cstheme="majorBidi"/>
          <w:b/>
          <w:bCs/>
          <w:sz w:val="24"/>
          <w:szCs w:val="24"/>
        </w:rPr>
      </w:pPr>
      <w:r w:rsidRPr="00FD3F57">
        <w:rPr>
          <w:rFonts w:asciiTheme="majorBidi" w:hAnsiTheme="majorBidi" w:cstheme="majorBidi"/>
          <w:b/>
          <w:bCs/>
          <w:sz w:val="24"/>
          <w:szCs w:val="24"/>
        </w:rPr>
        <w:t>2-1-Ultrasons :</w:t>
      </w:r>
    </w:p>
    <w:p w:rsidR="002B78DD" w:rsidRPr="00FD3F57" w:rsidRDefault="002B78DD" w:rsidP="00FD3F57">
      <w:pPr>
        <w:widowControl w:val="0"/>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La technique des ultrasons repose sur la propagation dans la pièce d’une onde ultrasonore générée à l’aide d’un transducteur émetteur [</w:t>
      </w:r>
      <w:r w:rsidR="007E45C5" w:rsidRPr="00FD3F57">
        <w:rPr>
          <w:rFonts w:asciiTheme="majorBidi" w:hAnsiTheme="majorBidi" w:cstheme="majorBidi"/>
          <w:sz w:val="24"/>
          <w:szCs w:val="24"/>
        </w:rPr>
        <w:t>30</w:t>
      </w:r>
      <w:r w:rsidRPr="00FD3F57">
        <w:rPr>
          <w:rFonts w:asciiTheme="majorBidi" w:hAnsiTheme="majorBidi" w:cstheme="majorBidi"/>
          <w:sz w:val="24"/>
          <w:szCs w:val="24"/>
        </w:rPr>
        <w:t>].  Un transducteur récepteur généralement situé du même côté que l’émetteur reçoit les ondes réfléchies avec un certain retard dû à la propagation des ondes à travers la pièce. Connaissant la vitesse v de propagation sonore dans le matériau, il est alors possible de distinguer l’écho correspondant au fond de la pièce, d’un éventuel écho correspondant à un défaut situé à l’intérieur de la pièce. En effet, le temps de propagation δt de l’onde réfléchie sur le défaut s’exprime</w:t>
      </w:r>
    </w:p>
    <w:p w:rsidR="002B78DD" w:rsidRPr="00FD3F57" w:rsidRDefault="002B78DD" w:rsidP="00FD3F57">
      <w:pPr>
        <w:widowControl w:val="0"/>
        <w:autoSpaceDE w:val="0"/>
        <w:autoSpaceDN w:val="0"/>
        <w:adjustRightInd w:val="0"/>
        <w:spacing w:after="0" w:line="360" w:lineRule="auto"/>
        <w:ind w:left="114" w:right="70" w:firstLine="339"/>
        <w:rPr>
          <w:rFonts w:asciiTheme="majorBidi" w:hAnsiTheme="majorBidi" w:cstheme="majorBidi"/>
          <w:sz w:val="24"/>
          <w:szCs w:val="24"/>
        </w:rPr>
      </w:pPr>
      <w:r w:rsidRPr="00FD3F57">
        <w:rPr>
          <w:rFonts w:asciiTheme="majorBidi" w:hAnsiTheme="majorBidi" w:cstheme="majorBidi"/>
          <w:sz w:val="24"/>
          <w:szCs w:val="24"/>
        </w:rPr>
        <w:t xml:space="preserve">                                           δt=d1+d2/v       (1-20)</w:t>
      </w:r>
    </w:p>
    <w:p w:rsidR="002B78DD" w:rsidRPr="00FD3F57" w:rsidRDefault="002B78DD" w:rsidP="00FD3F57">
      <w:pPr>
        <w:widowControl w:val="0"/>
        <w:autoSpaceDE w:val="0"/>
        <w:autoSpaceDN w:val="0"/>
        <w:adjustRightInd w:val="0"/>
        <w:spacing w:after="0" w:line="360" w:lineRule="auto"/>
        <w:ind w:left="114" w:right="70" w:firstLine="339"/>
        <w:rPr>
          <w:rFonts w:asciiTheme="majorBidi" w:hAnsiTheme="majorBidi" w:cstheme="majorBidi"/>
          <w:sz w:val="24"/>
          <w:szCs w:val="24"/>
        </w:rPr>
      </w:pPr>
      <w:r w:rsidRPr="00FD3F57">
        <w:rPr>
          <w:rFonts w:asciiTheme="majorBidi" w:hAnsiTheme="majorBidi" w:cstheme="majorBidi"/>
          <w:sz w:val="24"/>
          <w:szCs w:val="24"/>
        </w:rPr>
        <w:drawing>
          <wp:inline distT="0" distB="0" distL="0" distR="0">
            <wp:extent cx="4937760" cy="1990090"/>
            <wp:effectExtent l="19050" t="19050" r="15240" b="10160"/>
            <wp:docPr id="3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937760" cy="1990090"/>
                    </a:xfrm>
                    <a:prstGeom prst="rect">
                      <a:avLst/>
                    </a:prstGeom>
                    <a:noFill/>
                    <a:ln w="9525">
                      <a:solidFill>
                        <a:schemeClr val="tx1"/>
                      </a:solidFill>
                      <a:miter lim="800000"/>
                      <a:headEnd/>
                      <a:tailEnd/>
                    </a:ln>
                  </pic:spPr>
                </pic:pic>
              </a:graphicData>
            </a:graphic>
          </wp:inline>
        </w:drawing>
      </w:r>
    </w:p>
    <w:p w:rsidR="00FD3F57" w:rsidRDefault="00FD3F57" w:rsidP="00FD3F57">
      <w:pPr>
        <w:spacing w:line="360" w:lineRule="auto"/>
        <w:jc w:val="center"/>
        <w:rPr>
          <w:rFonts w:asciiTheme="majorBidi" w:hAnsiTheme="majorBidi" w:cstheme="majorBidi"/>
          <w:b/>
          <w:bCs/>
          <w:sz w:val="24"/>
          <w:szCs w:val="24"/>
        </w:rPr>
      </w:pPr>
    </w:p>
    <w:p w:rsidR="002B78DD" w:rsidRPr="00FD3F57" w:rsidRDefault="002B78DD" w:rsidP="00FD3F57">
      <w:pPr>
        <w:spacing w:line="360" w:lineRule="auto"/>
        <w:jc w:val="center"/>
        <w:rPr>
          <w:rFonts w:asciiTheme="majorBidi" w:hAnsiTheme="majorBidi" w:cstheme="majorBidi"/>
          <w:b/>
          <w:bCs/>
          <w:sz w:val="24"/>
          <w:szCs w:val="24"/>
        </w:rPr>
      </w:pPr>
      <w:r w:rsidRPr="00FD3F57">
        <w:rPr>
          <w:rFonts w:asciiTheme="majorBidi" w:hAnsiTheme="majorBidi" w:cstheme="majorBidi"/>
          <w:b/>
          <w:bCs/>
          <w:sz w:val="24"/>
          <w:szCs w:val="24"/>
        </w:rPr>
        <w:t>Figure 2-1 : Principe du CND par ultrasons</w:t>
      </w:r>
    </w:p>
    <w:p w:rsidR="002B78DD" w:rsidRPr="00FD3F57" w:rsidRDefault="002B78DD" w:rsidP="00FD3F57">
      <w:pPr>
        <w:widowControl w:val="0"/>
        <w:autoSpaceDE w:val="0"/>
        <w:autoSpaceDN w:val="0"/>
        <w:adjustRightInd w:val="0"/>
        <w:spacing w:after="0" w:line="360" w:lineRule="auto"/>
        <w:ind w:left="114" w:right="70" w:firstLine="339"/>
        <w:rPr>
          <w:rFonts w:asciiTheme="majorBidi" w:hAnsiTheme="majorBidi" w:cstheme="majorBidi"/>
          <w:sz w:val="24"/>
          <w:szCs w:val="24"/>
        </w:rPr>
      </w:pPr>
      <w:r w:rsidRPr="00FD3F57">
        <w:rPr>
          <w:rFonts w:asciiTheme="majorBidi" w:hAnsiTheme="majorBidi" w:cstheme="majorBidi"/>
          <w:sz w:val="24"/>
          <w:szCs w:val="24"/>
        </w:rPr>
        <w:t>Le CND  par  ultrasons  est  une  technique  très  utilisée,  parce  que relativement  flexible et simple pour  détecter des défauts enfouis[174]. La mesure d’épaisseur est aussi souvent effectuée par cette technique [</w:t>
      </w:r>
      <w:r w:rsidR="007E45C5" w:rsidRPr="00FD3F57">
        <w:rPr>
          <w:rFonts w:asciiTheme="majorBidi" w:hAnsiTheme="majorBidi" w:cstheme="majorBidi"/>
          <w:sz w:val="24"/>
          <w:szCs w:val="24"/>
        </w:rPr>
        <w:t>31</w:t>
      </w:r>
      <w:r w:rsidRPr="00FD3F57">
        <w:rPr>
          <w:rFonts w:asciiTheme="majorBidi" w:hAnsiTheme="majorBidi" w:cstheme="majorBidi"/>
          <w:sz w:val="24"/>
          <w:szCs w:val="24"/>
        </w:rPr>
        <w:t>]. Des sondes multiéléments sont développées depuis quelques années [</w:t>
      </w:r>
      <w:r w:rsidR="007E45C5" w:rsidRPr="00FD3F57">
        <w:rPr>
          <w:rFonts w:asciiTheme="majorBidi" w:hAnsiTheme="majorBidi" w:cstheme="majorBidi"/>
          <w:sz w:val="24"/>
          <w:szCs w:val="24"/>
        </w:rPr>
        <w:t>33</w:t>
      </w:r>
      <w:r w:rsidRPr="00FD3F57">
        <w:rPr>
          <w:rFonts w:asciiTheme="majorBidi" w:hAnsiTheme="majorBidi" w:cstheme="majorBidi"/>
          <w:sz w:val="24"/>
          <w:szCs w:val="24"/>
        </w:rPr>
        <w:t>], et permettent la mise en place de techniques complexes comme la focalisation des ondes émises [</w:t>
      </w:r>
      <w:r w:rsidR="007E45C5" w:rsidRPr="00FD3F57">
        <w:rPr>
          <w:rFonts w:asciiTheme="majorBidi" w:hAnsiTheme="majorBidi" w:cstheme="majorBidi"/>
          <w:sz w:val="24"/>
          <w:szCs w:val="24"/>
        </w:rPr>
        <w:t>34</w:t>
      </w:r>
      <w:r w:rsidRPr="00FD3F57">
        <w:rPr>
          <w:rFonts w:asciiTheme="majorBidi" w:hAnsiTheme="majorBidi" w:cstheme="majorBidi"/>
          <w:sz w:val="24"/>
          <w:szCs w:val="24"/>
        </w:rPr>
        <w:t>] ou encore la « décomposition de l’opérateur retournement temporel » (méthode DORT [</w:t>
      </w:r>
      <w:r w:rsidR="007E45C5" w:rsidRPr="00FD3F57">
        <w:rPr>
          <w:rFonts w:asciiTheme="majorBidi" w:hAnsiTheme="majorBidi" w:cstheme="majorBidi"/>
          <w:sz w:val="24"/>
          <w:szCs w:val="24"/>
        </w:rPr>
        <w:t>36</w:t>
      </w:r>
      <w:r w:rsidRPr="00FD3F57">
        <w:rPr>
          <w:rFonts w:asciiTheme="majorBidi" w:hAnsiTheme="majorBidi" w:cstheme="majorBidi"/>
          <w:sz w:val="24"/>
          <w:szCs w:val="24"/>
        </w:rPr>
        <w:t>]). Cependant, l’usage presque obligatoire d’un couplant peut être gênant, et les frontières entre deux matériaux engendrent des échos parasites. De plus, la recherche des défauts de dimensions subies millimétriques requiert l’utilisation de fréquences relativement élevées, pour lesquelles l’atténuation devient grande.</w:t>
      </w:r>
    </w:p>
    <w:p w:rsidR="002B78DD" w:rsidRPr="00FD3F57" w:rsidRDefault="00A36A02" w:rsidP="00FD3F57">
      <w:pPr>
        <w:widowControl w:val="0"/>
        <w:tabs>
          <w:tab w:val="left" w:pos="820"/>
        </w:tabs>
        <w:autoSpaceDE w:val="0"/>
        <w:autoSpaceDN w:val="0"/>
        <w:adjustRightInd w:val="0"/>
        <w:spacing w:after="0" w:line="360" w:lineRule="auto"/>
        <w:rPr>
          <w:rFonts w:asciiTheme="majorBidi" w:hAnsiTheme="majorBidi" w:cstheme="majorBidi"/>
          <w:b/>
          <w:bCs/>
          <w:sz w:val="24"/>
          <w:szCs w:val="24"/>
        </w:rPr>
      </w:pPr>
      <w:r w:rsidRPr="00FD3F57">
        <w:rPr>
          <w:rFonts w:asciiTheme="majorBidi" w:hAnsiTheme="majorBidi" w:cstheme="majorBidi"/>
          <w:b/>
          <w:bCs/>
          <w:sz w:val="24"/>
          <w:szCs w:val="24"/>
        </w:rPr>
        <w:lastRenderedPageBreak/>
        <w:t>2-2</w:t>
      </w:r>
      <w:r w:rsidR="002B78DD" w:rsidRPr="00FD3F57">
        <w:rPr>
          <w:rFonts w:asciiTheme="majorBidi" w:hAnsiTheme="majorBidi" w:cstheme="majorBidi"/>
          <w:b/>
          <w:bCs/>
          <w:sz w:val="24"/>
          <w:szCs w:val="24"/>
        </w:rPr>
        <w:t>-Les palpeurs pour le contrôle aux ultrasons :</w:t>
      </w:r>
    </w:p>
    <w:p w:rsidR="002B78DD" w:rsidRPr="00FD3F57" w:rsidRDefault="002B78DD" w:rsidP="00FD3F57">
      <w:pPr>
        <w:widowControl w:val="0"/>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Le contrôle aux ultrasons s'effectue le plus souvent avec un palpeur à incidence normale ou un palpeur à incidence oblique</w:t>
      </w:r>
    </w:p>
    <w:p w:rsidR="002B78DD" w:rsidRDefault="002B78DD" w:rsidP="00FD3F57">
      <w:pPr>
        <w:widowControl w:val="0"/>
        <w:tabs>
          <w:tab w:val="left" w:pos="820"/>
        </w:tabs>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-Les palpeurs à incidence normale émettent des ondes longitudinales avec comme direction de propagation la normale à la surface.</w:t>
      </w:r>
    </w:p>
    <w:p w:rsidR="00FD3F57" w:rsidRPr="00FD3F57" w:rsidRDefault="00FD3F57" w:rsidP="00FD3F57">
      <w:pPr>
        <w:widowControl w:val="0"/>
        <w:tabs>
          <w:tab w:val="left" w:pos="820"/>
        </w:tabs>
        <w:autoSpaceDE w:val="0"/>
        <w:autoSpaceDN w:val="0"/>
        <w:adjustRightInd w:val="0"/>
        <w:spacing w:after="0" w:line="360" w:lineRule="auto"/>
        <w:ind w:right="70"/>
        <w:rPr>
          <w:rFonts w:asciiTheme="majorBidi" w:hAnsiTheme="majorBidi" w:cstheme="majorBidi"/>
          <w:sz w:val="24"/>
          <w:szCs w:val="24"/>
        </w:rPr>
      </w:pPr>
    </w:p>
    <w:p w:rsidR="00B16D8F" w:rsidRPr="00FD3F57" w:rsidRDefault="002B78DD" w:rsidP="00FD3F57">
      <w:pPr>
        <w:spacing w:line="360" w:lineRule="auto"/>
        <w:jc w:val="center"/>
        <w:rPr>
          <w:rFonts w:asciiTheme="majorBidi" w:hAnsiTheme="majorBidi" w:cstheme="majorBidi"/>
          <w:sz w:val="24"/>
          <w:szCs w:val="24"/>
        </w:rPr>
      </w:pPr>
      <w:r w:rsidRPr="00FD3F57">
        <w:rPr>
          <w:rFonts w:asciiTheme="majorBidi" w:hAnsiTheme="majorBidi" w:cstheme="majorBidi"/>
          <w:sz w:val="24"/>
          <w:szCs w:val="24"/>
        </w:rPr>
        <w:drawing>
          <wp:inline distT="0" distB="0" distL="0" distR="0">
            <wp:extent cx="5270537" cy="2528047"/>
            <wp:effectExtent l="19050" t="19050" r="25363" b="24653"/>
            <wp:docPr id="3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273675" cy="2529552"/>
                    </a:xfrm>
                    <a:prstGeom prst="rect">
                      <a:avLst/>
                    </a:prstGeom>
                    <a:noFill/>
                    <a:ln w="9525">
                      <a:solidFill>
                        <a:schemeClr val="tx1"/>
                      </a:solidFill>
                      <a:miter lim="800000"/>
                      <a:headEnd/>
                      <a:tailEnd/>
                    </a:ln>
                  </pic:spPr>
                </pic:pic>
              </a:graphicData>
            </a:graphic>
          </wp:inline>
        </w:drawing>
      </w:r>
    </w:p>
    <w:p w:rsidR="002B78DD" w:rsidRPr="00FD3F57" w:rsidRDefault="00B16D8F" w:rsidP="00FD3F57">
      <w:pPr>
        <w:spacing w:line="360" w:lineRule="auto"/>
        <w:jc w:val="center"/>
        <w:rPr>
          <w:rFonts w:asciiTheme="majorBidi" w:hAnsiTheme="majorBidi" w:cstheme="majorBidi"/>
          <w:b/>
          <w:bCs/>
          <w:sz w:val="24"/>
          <w:szCs w:val="24"/>
        </w:rPr>
      </w:pPr>
      <w:r w:rsidRPr="00FD3F57">
        <w:rPr>
          <w:rFonts w:asciiTheme="majorBidi" w:hAnsiTheme="majorBidi" w:cstheme="majorBidi"/>
          <w:b/>
          <w:bCs/>
          <w:sz w:val="24"/>
          <w:szCs w:val="24"/>
        </w:rPr>
        <w:t>Figure 2-2</w:t>
      </w:r>
      <w:r w:rsidR="002B78DD" w:rsidRPr="00FD3F57">
        <w:rPr>
          <w:rFonts w:asciiTheme="majorBidi" w:hAnsiTheme="majorBidi" w:cstheme="majorBidi"/>
          <w:b/>
          <w:bCs/>
          <w:sz w:val="24"/>
          <w:szCs w:val="24"/>
        </w:rPr>
        <w:t> : Palpeur pour ondes longitudinales</w:t>
      </w:r>
    </w:p>
    <w:p w:rsidR="002B78DD" w:rsidRPr="00FD3F57" w:rsidRDefault="002B78DD" w:rsidP="00FD3F57">
      <w:pPr>
        <w:widowControl w:val="0"/>
        <w:autoSpaceDE w:val="0"/>
        <w:autoSpaceDN w:val="0"/>
        <w:adjustRightInd w:val="0"/>
        <w:spacing w:after="0" w:line="360" w:lineRule="auto"/>
        <w:ind w:left="2647"/>
        <w:rPr>
          <w:rFonts w:asciiTheme="majorBidi" w:hAnsiTheme="majorBidi" w:cstheme="majorBidi"/>
          <w:sz w:val="24"/>
          <w:szCs w:val="24"/>
        </w:rPr>
      </w:pPr>
    </w:p>
    <w:p w:rsidR="00B16D8F" w:rsidRPr="00FD3F57" w:rsidRDefault="002B78DD" w:rsidP="00FD3F57">
      <w:pPr>
        <w:spacing w:line="360" w:lineRule="auto"/>
        <w:jc w:val="center"/>
        <w:rPr>
          <w:rFonts w:asciiTheme="majorBidi" w:hAnsiTheme="majorBidi" w:cstheme="majorBidi"/>
          <w:sz w:val="24"/>
          <w:szCs w:val="24"/>
        </w:rPr>
      </w:pPr>
      <w:r w:rsidRPr="00FD3F57">
        <w:rPr>
          <w:rFonts w:asciiTheme="majorBidi" w:hAnsiTheme="majorBidi" w:cstheme="majorBidi"/>
          <w:sz w:val="24"/>
          <w:szCs w:val="24"/>
        </w:rPr>
        <w:drawing>
          <wp:inline distT="0" distB="0" distL="0" distR="0">
            <wp:extent cx="5278871" cy="1892877"/>
            <wp:effectExtent l="19050" t="19050" r="17029" b="12123"/>
            <wp:docPr id="4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73675" cy="1891014"/>
                    </a:xfrm>
                    <a:prstGeom prst="rect">
                      <a:avLst/>
                    </a:prstGeom>
                    <a:noFill/>
                    <a:ln w="9525">
                      <a:solidFill>
                        <a:schemeClr val="tx1"/>
                      </a:solidFill>
                      <a:miter lim="800000"/>
                      <a:headEnd/>
                      <a:tailEnd/>
                    </a:ln>
                  </pic:spPr>
                </pic:pic>
              </a:graphicData>
            </a:graphic>
          </wp:inline>
        </w:drawing>
      </w:r>
    </w:p>
    <w:p w:rsidR="002B78DD" w:rsidRPr="00FD3F57" w:rsidRDefault="00B16D8F" w:rsidP="00FD3F57">
      <w:pPr>
        <w:spacing w:line="360" w:lineRule="auto"/>
        <w:jc w:val="center"/>
        <w:rPr>
          <w:rFonts w:asciiTheme="majorBidi" w:hAnsiTheme="majorBidi" w:cstheme="majorBidi"/>
          <w:b/>
          <w:bCs/>
          <w:sz w:val="24"/>
          <w:szCs w:val="24"/>
        </w:rPr>
      </w:pPr>
      <w:r w:rsidRPr="00FD3F57">
        <w:rPr>
          <w:rFonts w:asciiTheme="majorBidi" w:hAnsiTheme="majorBidi" w:cstheme="majorBidi"/>
          <w:b/>
          <w:bCs/>
          <w:sz w:val="24"/>
          <w:szCs w:val="24"/>
        </w:rPr>
        <w:t xml:space="preserve">Figure 2-3 </w:t>
      </w:r>
      <w:r w:rsidR="002B78DD" w:rsidRPr="00FD3F57">
        <w:rPr>
          <w:rFonts w:asciiTheme="majorBidi" w:hAnsiTheme="majorBidi" w:cstheme="majorBidi"/>
          <w:b/>
          <w:bCs/>
          <w:sz w:val="24"/>
          <w:szCs w:val="24"/>
        </w:rPr>
        <w:t>: Palpeur pour ondes transversales</w:t>
      </w:r>
    </w:p>
    <w:p w:rsidR="002B78DD" w:rsidRPr="00FD3F57" w:rsidRDefault="002B78DD" w:rsidP="00FD3F57">
      <w:pPr>
        <w:widowControl w:val="0"/>
        <w:autoSpaceDE w:val="0"/>
        <w:autoSpaceDN w:val="0"/>
        <w:adjustRightInd w:val="0"/>
        <w:spacing w:after="0" w:line="360" w:lineRule="auto"/>
        <w:ind w:left="426" w:right="70" w:hanging="360"/>
        <w:rPr>
          <w:rFonts w:asciiTheme="majorBidi" w:hAnsiTheme="majorBidi" w:cstheme="majorBidi"/>
          <w:sz w:val="24"/>
          <w:szCs w:val="24"/>
        </w:rPr>
      </w:pPr>
      <w:r w:rsidRPr="00FD3F57">
        <w:rPr>
          <w:rFonts w:asciiTheme="majorBidi" w:hAnsiTheme="majorBidi" w:cstheme="majorBidi"/>
          <w:sz w:val="24"/>
          <w:szCs w:val="24"/>
        </w:rPr>
        <w:t xml:space="preserve">Les palpeurs d'angle émettent des ondes transversales dont la direction de propagation est inclinée par rapport à la normale de la surface. Pour l'excitation de ce type d'onde, on utilise le fait qu'une onde longitudinale, créée dans le palpeur, se divise en une onde transversale et une onde longitudinale lors de la réfraction à l'interface entre le palpeur et la pièce. Pour faciliter l'interprétation des échos, on choisit </w:t>
      </w:r>
      <w:r w:rsidRPr="00FD3F57">
        <w:rPr>
          <w:rFonts w:asciiTheme="majorBidi" w:hAnsiTheme="majorBidi" w:cstheme="majorBidi"/>
          <w:sz w:val="24"/>
          <w:szCs w:val="24"/>
        </w:rPr>
        <w:lastRenderedPageBreak/>
        <w:t>l'angle d'incidence de manière à ce que seule l'onde transversale puisse exister. L'onde qui est réfléchie à l'interface et reste dans la sonde doit être amortie dans le bloc d'atténuation pour éviter d'éventuels échos fantômes.</w:t>
      </w:r>
    </w:p>
    <w:p w:rsidR="002B78DD" w:rsidRPr="00FD3F57" w:rsidRDefault="002B78DD" w:rsidP="00FD3F57">
      <w:pPr>
        <w:widowControl w:val="0"/>
        <w:tabs>
          <w:tab w:val="left" w:pos="820"/>
        </w:tabs>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Les palpeurs d'angle émettent des ondes transversales dont la direction de propagation est inclinée par rapport à la normale de la surface. Pour l'excitation de ce type d'onde, on utilise le fait qu'une onde longitudinale, créée dans le palpeur, se divise en une onde transversale et une onde longitudinale lors de la réfraction à l'interface entre le palpeur et la pièce. Pour faciliter l'interprétation des échos, on choisit l'angle d'incidence de manière à ce que seule l'onde transversale puisse exister. L'onde qui est réfléchie à l'interface et reste dans la sonde doit être amortie dans le bloc d'atténuation pour éviter d'éventuels échos fantômes.[145]</w:t>
      </w:r>
    </w:p>
    <w:p w:rsidR="002B78DD" w:rsidRPr="00FD3F57" w:rsidRDefault="002B78DD" w:rsidP="00FD3F57">
      <w:pPr>
        <w:widowControl w:val="0"/>
        <w:tabs>
          <w:tab w:val="left" w:pos="820"/>
        </w:tabs>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Les palpeurs d’angle s’emploient surtout pour sonder les cordons de soudures. La surface irrégulière du cordon lui –même empêche normalement un contact satisfaisant avec un palpeur normal. L’angle d’incidence β dépend de la construction et du matériau du palpeur ainsi que du matériau de la pièce à sonder. La valeur indiquée sur le boitier (angle standards 350, 450 ,600,700,800) est valable uniquement pour les aciers.</w:t>
      </w:r>
    </w:p>
    <w:p w:rsidR="002B78DD" w:rsidRPr="00FD3F57" w:rsidRDefault="002B78DD" w:rsidP="00FD3F57">
      <w:pPr>
        <w:widowControl w:val="0"/>
        <w:tabs>
          <w:tab w:val="left" w:pos="820"/>
        </w:tabs>
        <w:autoSpaceDE w:val="0"/>
        <w:autoSpaceDN w:val="0"/>
        <w:adjustRightInd w:val="0"/>
        <w:spacing w:after="0" w:line="360" w:lineRule="auto"/>
        <w:ind w:right="70"/>
        <w:rPr>
          <w:rFonts w:asciiTheme="majorBidi" w:hAnsiTheme="majorBidi" w:cstheme="majorBidi"/>
          <w:sz w:val="24"/>
          <w:szCs w:val="24"/>
        </w:rPr>
      </w:pPr>
      <w:r w:rsidRPr="00FD3F57">
        <w:rPr>
          <w:rFonts w:asciiTheme="majorBidi" w:hAnsiTheme="majorBidi" w:cstheme="majorBidi"/>
          <w:sz w:val="24"/>
          <w:szCs w:val="24"/>
        </w:rPr>
        <w:t xml:space="preserve"> En contact avec un autre matériau, le même palpeur donne un angle différent. </w:t>
      </w:r>
    </w:p>
    <w:p w:rsidR="002B78DD" w:rsidRPr="00FD3F57" w:rsidRDefault="00A36A02" w:rsidP="00FD3F57">
      <w:pPr>
        <w:widowControl w:val="0"/>
        <w:autoSpaceDE w:val="0"/>
        <w:autoSpaceDN w:val="0"/>
        <w:adjustRightInd w:val="0"/>
        <w:spacing w:after="0" w:line="360" w:lineRule="auto"/>
        <w:rPr>
          <w:rFonts w:asciiTheme="majorBidi" w:hAnsiTheme="majorBidi" w:cstheme="majorBidi"/>
          <w:b/>
          <w:bCs/>
          <w:sz w:val="24"/>
          <w:szCs w:val="24"/>
        </w:rPr>
      </w:pPr>
      <w:r w:rsidRPr="00FD3F57">
        <w:rPr>
          <w:rFonts w:asciiTheme="majorBidi" w:hAnsiTheme="majorBidi" w:cstheme="majorBidi"/>
          <w:b/>
          <w:bCs/>
          <w:sz w:val="24"/>
          <w:szCs w:val="24"/>
        </w:rPr>
        <w:t>2-3</w:t>
      </w:r>
      <w:r w:rsidR="002B78DD" w:rsidRPr="00FD3F57">
        <w:rPr>
          <w:rFonts w:asciiTheme="majorBidi" w:hAnsiTheme="majorBidi" w:cstheme="majorBidi"/>
          <w:b/>
          <w:bCs/>
          <w:sz w:val="24"/>
          <w:szCs w:val="24"/>
        </w:rPr>
        <w:t>-Le champ de rayonnement d'un palpeur :</w:t>
      </w:r>
    </w:p>
    <w:p w:rsidR="002B78DD" w:rsidRPr="00FD3F57" w:rsidRDefault="002B78DD" w:rsidP="00FD3F57">
      <w:pPr>
        <w:widowControl w:val="0"/>
        <w:autoSpaceDE w:val="0"/>
        <w:autoSpaceDN w:val="0"/>
        <w:adjustRightInd w:val="0"/>
        <w:spacing w:after="0" w:line="360" w:lineRule="auto"/>
        <w:ind w:left="117" w:right="65"/>
        <w:rPr>
          <w:rFonts w:asciiTheme="majorBidi" w:hAnsiTheme="majorBidi" w:cstheme="majorBidi"/>
          <w:sz w:val="24"/>
          <w:szCs w:val="24"/>
        </w:rPr>
      </w:pPr>
      <w:r w:rsidRPr="00FD3F57">
        <w:rPr>
          <w:rFonts w:asciiTheme="majorBidi" w:hAnsiTheme="majorBidi" w:cstheme="majorBidi"/>
          <w:sz w:val="24"/>
          <w:szCs w:val="24"/>
        </w:rPr>
        <w:t>La sonde émet un faisceau présentant un angle de divergence. Le champ de rayonnement peut être décomposé en un champ proche de longueur NS et un champ éloigné. La grandeur du champ proche dépend du diamètre de l'émetteur D et de la longueur d'onde du rayonnement ultrasonique.</w:t>
      </w:r>
    </w:p>
    <w:p w:rsidR="002B78DD" w:rsidRPr="00FD3F57" w:rsidRDefault="002B78DD" w:rsidP="00FD3F57">
      <w:pPr>
        <w:spacing w:line="360" w:lineRule="auto"/>
        <w:jc w:val="center"/>
        <w:rPr>
          <w:rFonts w:asciiTheme="majorBidi" w:hAnsiTheme="majorBidi" w:cstheme="majorBidi"/>
          <w:sz w:val="24"/>
          <w:szCs w:val="24"/>
        </w:rPr>
      </w:pPr>
      <w:r w:rsidRPr="00FD3F57">
        <w:rPr>
          <w:rFonts w:asciiTheme="majorBidi" w:hAnsiTheme="majorBidi" w:cstheme="majorBidi"/>
          <w:sz w:val="24"/>
          <w:szCs w:val="24"/>
        </w:rPr>
        <w:drawing>
          <wp:inline distT="0" distB="0" distL="0" distR="0">
            <wp:extent cx="3657600" cy="1552575"/>
            <wp:effectExtent l="19050" t="19050" r="19050" b="28575"/>
            <wp:docPr id="4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657600" cy="1552575"/>
                    </a:xfrm>
                    <a:prstGeom prst="rect">
                      <a:avLst/>
                    </a:prstGeom>
                    <a:noFill/>
                    <a:ln w="9525">
                      <a:solidFill>
                        <a:schemeClr val="tx1"/>
                      </a:solidFill>
                      <a:miter lim="800000"/>
                      <a:headEnd/>
                      <a:tailEnd/>
                    </a:ln>
                  </pic:spPr>
                </pic:pic>
              </a:graphicData>
            </a:graphic>
          </wp:inline>
        </w:drawing>
      </w:r>
    </w:p>
    <w:p w:rsidR="002B78DD" w:rsidRPr="00FD3F57" w:rsidRDefault="00B16D8F" w:rsidP="00FD3F57">
      <w:pPr>
        <w:widowControl w:val="0"/>
        <w:autoSpaceDE w:val="0"/>
        <w:autoSpaceDN w:val="0"/>
        <w:adjustRightInd w:val="0"/>
        <w:spacing w:before="16" w:after="0" w:line="360" w:lineRule="auto"/>
        <w:jc w:val="center"/>
        <w:rPr>
          <w:rFonts w:asciiTheme="majorBidi" w:hAnsiTheme="majorBidi" w:cstheme="majorBidi"/>
          <w:b/>
          <w:bCs/>
          <w:sz w:val="24"/>
          <w:szCs w:val="24"/>
        </w:rPr>
      </w:pPr>
      <w:r w:rsidRPr="00FD3F57">
        <w:rPr>
          <w:rFonts w:asciiTheme="majorBidi" w:hAnsiTheme="majorBidi" w:cstheme="majorBidi"/>
          <w:b/>
          <w:bCs/>
          <w:sz w:val="24"/>
          <w:szCs w:val="24"/>
        </w:rPr>
        <w:t xml:space="preserve">Figure </w:t>
      </w:r>
      <w:r w:rsidR="002B78DD" w:rsidRPr="00FD3F57">
        <w:rPr>
          <w:rFonts w:asciiTheme="majorBidi" w:hAnsiTheme="majorBidi" w:cstheme="majorBidi"/>
          <w:b/>
          <w:bCs/>
          <w:sz w:val="24"/>
          <w:szCs w:val="24"/>
        </w:rPr>
        <w:t>2</w:t>
      </w:r>
      <w:r w:rsidR="00A36A02" w:rsidRPr="00FD3F57">
        <w:rPr>
          <w:rFonts w:asciiTheme="majorBidi" w:hAnsiTheme="majorBidi" w:cstheme="majorBidi"/>
          <w:b/>
          <w:bCs/>
          <w:sz w:val="24"/>
          <w:szCs w:val="24"/>
        </w:rPr>
        <w:t>-</w:t>
      </w:r>
      <w:r w:rsidRPr="00FD3F57">
        <w:rPr>
          <w:rFonts w:asciiTheme="majorBidi" w:hAnsiTheme="majorBidi" w:cstheme="majorBidi"/>
          <w:b/>
          <w:bCs/>
          <w:sz w:val="24"/>
          <w:szCs w:val="24"/>
        </w:rPr>
        <w:t>4</w:t>
      </w:r>
      <w:r w:rsidR="002B78DD" w:rsidRPr="00FD3F57">
        <w:rPr>
          <w:rFonts w:asciiTheme="majorBidi" w:hAnsiTheme="majorBidi" w:cstheme="majorBidi"/>
          <w:b/>
          <w:bCs/>
          <w:sz w:val="24"/>
          <w:szCs w:val="24"/>
        </w:rPr>
        <w:t> : Champ rapproché et champ éloigné de l'onde ultrasonique</w:t>
      </w:r>
    </w:p>
    <w:p w:rsidR="00B16D8F" w:rsidRDefault="00B16D8F" w:rsidP="00FD3F57">
      <w:pPr>
        <w:widowControl w:val="0"/>
        <w:autoSpaceDE w:val="0"/>
        <w:autoSpaceDN w:val="0"/>
        <w:adjustRightInd w:val="0"/>
        <w:spacing w:before="16" w:after="0" w:line="360" w:lineRule="auto"/>
        <w:rPr>
          <w:rFonts w:asciiTheme="majorBidi" w:hAnsiTheme="majorBidi" w:cstheme="majorBidi"/>
          <w:sz w:val="24"/>
          <w:szCs w:val="24"/>
        </w:rPr>
      </w:pPr>
    </w:p>
    <w:p w:rsidR="00FD3F57" w:rsidRPr="00FD3F57" w:rsidRDefault="00FD3F57" w:rsidP="00FD3F57">
      <w:pPr>
        <w:widowControl w:val="0"/>
        <w:autoSpaceDE w:val="0"/>
        <w:autoSpaceDN w:val="0"/>
        <w:adjustRightInd w:val="0"/>
        <w:spacing w:before="16" w:after="0" w:line="360" w:lineRule="auto"/>
        <w:rPr>
          <w:rFonts w:asciiTheme="majorBidi" w:hAnsiTheme="majorBidi" w:cstheme="majorBidi"/>
          <w:sz w:val="24"/>
          <w:szCs w:val="24"/>
        </w:rPr>
      </w:pPr>
    </w:p>
    <w:p w:rsidR="002B78DD" w:rsidRPr="00FD3F57" w:rsidRDefault="002B78DD" w:rsidP="00FD3F57">
      <w:pPr>
        <w:widowControl w:val="0"/>
        <w:autoSpaceDE w:val="0"/>
        <w:autoSpaceDN w:val="0"/>
        <w:adjustRightInd w:val="0"/>
        <w:spacing w:after="0" w:line="360" w:lineRule="auto"/>
        <w:ind w:left="117" w:right="69"/>
        <w:rPr>
          <w:rFonts w:asciiTheme="majorBidi" w:hAnsiTheme="majorBidi" w:cstheme="majorBidi"/>
          <w:sz w:val="24"/>
          <w:szCs w:val="24"/>
        </w:rPr>
      </w:pPr>
      <w:r w:rsidRPr="00FD3F57">
        <w:rPr>
          <w:rFonts w:asciiTheme="majorBidi" w:hAnsiTheme="majorBidi" w:cstheme="majorBidi"/>
          <w:sz w:val="24"/>
          <w:szCs w:val="24"/>
        </w:rPr>
        <w:lastRenderedPageBreak/>
        <w:t>Un défaut placé dans le champ éloigné donnera un écho dont l'amplitude diminuera avec le carré de la distance r du capteur (1/r2). Par contre, si ce défaut se trouve dans le champ proche, l'amplitude de l'écho ne peut plus être exprimée par une fonction simple de r. Elle dépend d'effets d'interférence.</w:t>
      </w:r>
    </w:p>
    <w:p w:rsidR="002B78DD" w:rsidRPr="00FD3F57" w:rsidRDefault="002B78DD" w:rsidP="00FD3F57">
      <w:pPr>
        <w:widowControl w:val="0"/>
        <w:autoSpaceDE w:val="0"/>
        <w:autoSpaceDN w:val="0"/>
        <w:adjustRightInd w:val="0"/>
        <w:spacing w:before="5" w:after="0" w:line="360" w:lineRule="auto"/>
        <w:ind w:left="117" w:right="3089"/>
        <w:rPr>
          <w:rFonts w:asciiTheme="majorBidi" w:hAnsiTheme="majorBidi" w:cstheme="majorBidi"/>
          <w:sz w:val="24"/>
          <w:szCs w:val="24"/>
        </w:rPr>
      </w:pPr>
      <w:r w:rsidRPr="00FD3F57">
        <w:rPr>
          <w:rFonts w:asciiTheme="majorBidi" w:hAnsiTheme="majorBidi" w:cstheme="majorBidi"/>
          <w:sz w:val="24"/>
          <w:szCs w:val="24"/>
        </w:rPr>
        <w:t>Quelques valeurs de Ns et de γ pour l'eau, l'acier et l'aluminium</w:t>
      </w:r>
    </w:p>
    <w:tbl>
      <w:tblPr>
        <w:tblpPr w:leftFromText="141" w:rightFromText="141" w:vertAnchor="text" w:horzAnchor="margin" w:tblpXSpec="center" w:tblpY="101"/>
        <w:tblW w:w="0" w:type="auto"/>
        <w:tblLayout w:type="fixed"/>
        <w:tblCellMar>
          <w:left w:w="0" w:type="dxa"/>
          <w:right w:w="0" w:type="dxa"/>
        </w:tblCellMar>
        <w:tblLook w:val="0000"/>
      </w:tblPr>
      <w:tblGrid>
        <w:gridCol w:w="1218"/>
        <w:gridCol w:w="1220"/>
        <w:gridCol w:w="1186"/>
        <w:gridCol w:w="1145"/>
        <w:gridCol w:w="1153"/>
        <w:gridCol w:w="1140"/>
      </w:tblGrid>
      <w:tr w:rsidR="00A36A02" w:rsidRPr="00FD3F57" w:rsidTr="00B16D8F">
        <w:trPr>
          <w:trHeight w:hRule="exact" w:val="361"/>
        </w:trPr>
        <w:tc>
          <w:tcPr>
            <w:tcW w:w="1218"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rPr>
                <w:rFonts w:asciiTheme="majorBidi" w:hAnsiTheme="majorBidi" w:cstheme="majorBidi"/>
                <w:sz w:val="24"/>
                <w:szCs w:val="24"/>
              </w:rPr>
            </w:pPr>
          </w:p>
        </w:tc>
        <w:tc>
          <w:tcPr>
            <w:tcW w:w="122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rPr>
                <w:rFonts w:asciiTheme="majorBidi" w:hAnsiTheme="majorBidi" w:cstheme="majorBidi"/>
                <w:sz w:val="24"/>
                <w:szCs w:val="24"/>
              </w:rPr>
            </w:pPr>
          </w:p>
        </w:tc>
        <w:tc>
          <w:tcPr>
            <w:tcW w:w="2331" w:type="dxa"/>
            <w:gridSpan w:val="2"/>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933" w:right="933"/>
              <w:rPr>
                <w:rFonts w:asciiTheme="majorBidi" w:hAnsiTheme="majorBidi" w:cstheme="majorBidi"/>
                <w:sz w:val="24"/>
                <w:szCs w:val="24"/>
              </w:rPr>
            </w:pPr>
            <w:r w:rsidRPr="00FD3F57">
              <w:rPr>
                <w:rFonts w:asciiTheme="majorBidi" w:hAnsiTheme="majorBidi" w:cstheme="majorBidi"/>
                <w:sz w:val="24"/>
                <w:szCs w:val="24"/>
              </w:rPr>
              <w:t>Eau</w:t>
            </w:r>
          </w:p>
        </w:tc>
        <w:tc>
          <w:tcPr>
            <w:tcW w:w="2293" w:type="dxa"/>
            <w:gridSpan w:val="2"/>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218"/>
              <w:rPr>
                <w:rFonts w:asciiTheme="majorBidi" w:hAnsiTheme="majorBidi" w:cstheme="majorBidi"/>
                <w:sz w:val="24"/>
                <w:szCs w:val="24"/>
              </w:rPr>
            </w:pPr>
            <w:r w:rsidRPr="00FD3F57">
              <w:rPr>
                <w:rFonts w:asciiTheme="majorBidi" w:hAnsiTheme="majorBidi" w:cstheme="majorBidi"/>
                <w:sz w:val="24"/>
                <w:szCs w:val="24"/>
              </w:rPr>
              <w:t>Acier - Aluminium</w:t>
            </w:r>
          </w:p>
        </w:tc>
      </w:tr>
      <w:tr w:rsidR="00A36A02" w:rsidRPr="00FD3F57" w:rsidTr="00B16D8F">
        <w:trPr>
          <w:trHeight w:hRule="exact" w:val="373"/>
        </w:trPr>
        <w:tc>
          <w:tcPr>
            <w:tcW w:w="1218"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174"/>
              <w:rPr>
                <w:rFonts w:asciiTheme="majorBidi" w:hAnsiTheme="majorBidi" w:cstheme="majorBidi"/>
                <w:sz w:val="24"/>
                <w:szCs w:val="24"/>
              </w:rPr>
            </w:pPr>
            <w:r w:rsidRPr="00FD3F57">
              <w:rPr>
                <w:rFonts w:asciiTheme="majorBidi" w:hAnsiTheme="majorBidi" w:cstheme="majorBidi"/>
                <w:sz w:val="24"/>
                <w:szCs w:val="24"/>
              </w:rPr>
              <w:t>f   [MHz]</w:t>
            </w:r>
          </w:p>
        </w:tc>
        <w:tc>
          <w:tcPr>
            <w:tcW w:w="122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188"/>
              <w:rPr>
                <w:rFonts w:asciiTheme="majorBidi" w:hAnsiTheme="majorBidi" w:cstheme="majorBidi"/>
                <w:sz w:val="24"/>
                <w:szCs w:val="24"/>
              </w:rPr>
            </w:pPr>
            <w:r w:rsidRPr="00FD3F57">
              <w:rPr>
                <w:rFonts w:asciiTheme="majorBidi" w:hAnsiTheme="majorBidi" w:cstheme="majorBidi"/>
                <w:sz w:val="24"/>
                <w:szCs w:val="24"/>
              </w:rPr>
              <w:t>D   [mm]</w:t>
            </w:r>
          </w:p>
        </w:tc>
        <w:tc>
          <w:tcPr>
            <w:tcW w:w="1186"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18"/>
              <w:rPr>
                <w:rFonts w:asciiTheme="majorBidi" w:hAnsiTheme="majorBidi" w:cstheme="majorBidi"/>
                <w:sz w:val="24"/>
                <w:szCs w:val="24"/>
              </w:rPr>
            </w:pPr>
            <w:r w:rsidRPr="00FD3F57">
              <w:rPr>
                <w:rFonts w:asciiTheme="majorBidi" w:hAnsiTheme="majorBidi" w:cstheme="majorBidi"/>
                <w:sz w:val="24"/>
                <w:szCs w:val="24"/>
              </w:rPr>
              <w:t>γ [°  ]</w:t>
            </w:r>
          </w:p>
        </w:tc>
        <w:tc>
          <w:tcPr>
            <w:tcW w:w="1145"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111"/>
              <w:rPr>
                <w:rFonts w:asciiTheme="majorBidi" w:hAnsiTheme="majorBidi" w:cstheme="majorBidi"/>
                <w:sz w:val="24"/>
                <w:szCs w:val="24"/>
              </w:rPr>
            </w:pPr>
            <w:r w:rsidRPr="00FD3F57">
              <w:rPr>
                <w:rFonts w:asciiTheme="majorBidi" w:hAnsiTheme="majorBidi" w:cstheme="majorBidi"/>
                <w:sz w:val="24"/>
                <w:szCs w:val="24"/>
              </w:rPr>
              <w:t>NS [mm ]  [mm]</w:t>
            </w:r>
          </w:p>
        </w:tc>
        <w:tc>
          <w:tcPr>
            <w:tcW w:w="1153"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02"/>
              <w:rPr>
                <w:rFonts w:asciiTheme="majorBidi" w:hAnsiTheme="majorBidi" w:cstheme="majorBidi"/>
                <w:sz w:val="24"/>
                <w:szCs w:val="24"/>
              </w:rPr>
            </w:pPr>
            <w:r w:rsidRPr="00FD3F57">
              <w:rPr>
                <w:rFonts w:asciiTheme="majorBidi" w:hAnsiTheme="majorBidi" w:cstheme="majorBidi"/>
                <w:sz w:val="24"/>
                <w:szCs w:val="24"/>
              </w:rPr>
              <w:t>γ [°  ]</w:t>
            </w:r>
          </w:p>
        </w:tc>
        <w:tc>
          <w:tcPr>
            <w:tcW w:w="114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109"/>
              <w:rPr>
                <w:rFonts w:asciiTheme="majorBidi" w:hAnsiTheme="majorBidi" w:cstheme="majorBidi"/>
                <w:sz w:val="24"/>
                <w:szCs w:val="24"/>
              </w:rPr>
            </w:pPr>
            <w:r w:rsidRPr="00FD3F57">
              <w:rPr>
                <w:rFonts w:asciiTheme="majorBidi" w:hAnsiTheme="majorBidi" w:cstheme="majorBidi"/>
                <w:sz w:val="24"/>
                <w:szCs w:val="24"/>
              </w:rPr>
              <w:t>NS [mm]  [mm]</w:t>
            </w:r>
          </w:p>
        </w:tc>
      </w:tr>
      <w:tr w:rsidR="00A36A02" w:rsidRPr="00FD3F57" w:rsidTr="00B16D8F">
        <w:trPr>
          <w:trHeight w:hRule="exact" w:val="361"/>
        </w:trPr>
        <w:tc>
          <w:tcPr>
            <w:tcW w:w="1218"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502" w:right="503"/>
              <w:rPr>
                <w:rFonts w:asciiTheme="majorBidi" w:hAnsiTheme="majorBidi" w:cstheme="majorBidi"/>
                <w:sz w:val="24"/>
                <w:szCs w:val="24"/>
              </w:rPr>
            </w:pPr>
            <w:r w:rsidRPr="00FD3F57">
              <w:rPr>
                <w:rFonts w:asciiTheme="majorBidi" w:hAnsiTheme="majorBidi" w:cstheme="majorBidi"/>
                <w:sz w:val="24"/>
                <w:szCs w:val="24"/>
              </w:rPr>
              <w:t>1</w:t>
            </w:r>
          </w:p>
        </w:tc>
        <w:tc>
          <w:tcPr>
            <w:tcW w:w="122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43" w:right="443"/>
              <w:rPr>
                <w:rFonts w:asciiTheme="majorBidi" w:hAnsiTheme="majorBidi" w:cstheme="majorBidi"/>
                <w:sz w:val="24"/>
                <w:szCs w:val="24"/>
              </w:rPr>
            </w:pPr>
            <w:r w:rsidRPr="00FD3F57">
              <w:rPr>
                <w:rFonts w:asciiTheme="majorBidi" w:hAnsiTheme="majorBidi" w:cstheme="majorBidi"/>
                <w:sz w:val="24"/>
                <w:szCs w:val="24"/>
              </w:rPr>
              <w:t>34</w:t>
            </w:r>
          </w:p>
        </w:tc>
        <w:tc>
          <w:tcPr>
            <w:tcW w:w="1186"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75"/>
              <w:rPr>
                <w:rFonts w:asciiTheme="majorBidi" w:hAnsiTheme="majorBidi" w:cstheme="majorBidi"/>
                <w:sz w:val="24"/>
                <w:szCs w:val="24"/>
              </w:rPr>
            </w:pPr>
            <w:r w:rsidRPr="00FD3F57">
              <w:rPr>
                <w:rFonts w:asciiTheme="majorBidi" w:hAnsiTheme="majorBidi" w:cstheme="majorBidi"/>
                <w:sz w:val="24"/>
                <w:szCs w:val="24"/>
              </w:rPr>
              <w:t>2,70</w:t>
            </w:r>
          </w:p>
        </w:tc>
        <w:tc>
          <w:tcPr>
            <w:tcW w:w="1145"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45" w:right="347"/>
              <w:rPr>
                <w:rFonts w:asciiTheme="majorBidi" w:hAnsiTheme="majorBidi" w:cstheme="majorBidi"/>
                <w:sz w:val="24"/>
                <w:szCs w:val="24"/>
              </w:rPr>
            </w:pPr>
            <w:r w:rsidRPr="00FD3F57">
              <w:rPr>
                <w:rFonts w:asciiTheme="majorBidi" w:hAnsiTheme="majorBidi" w:cstheme="majorBidi"/>
                <w:sz w:val="24"/>
                <w:szCs w:val="24"/>
              </w:rPr>
              <w:t>220</w:t>
            </w:r>
          </w:p>
        </w:tc>
        <w:tc>
          <w:tcPr>
            <w:tcW w:w="1153"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11" w:right="410"/>
              <w:rPr>
                <w:rFonts w:asciiTheme="majorBidi" w:hAnsiTheme="majorBidi" w:cstheme="majorBidi"/>
                <w:sz w:val="24"/>
                <w:szCs w:val="24"/>
              </w:rPr>
            </w:pPr>
            <w:r w:rsidRPr="00FD3F57">
              <w:rPr>
                <w:rFonts w:asciiTheme="majorBidi" w:hAnsiTheme="majorBidi" w:cstheme="majorBidi"/>
                <w:sz w:val="24"/>
                <w:szCs w:val="24"/>
              </w:rPr>
              <w:t>11</w:t>
            </w:r>
          </w:p>
        </w:tc>
        <w:tc>
          <w:tcPr>
            <w:tcW w:w="114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03" w:right="404"/>
              <w:rPr>
                <w:rFonts w:asciiTheme="majorBidi" w:hAnsiTheme="majorBidi" w:cstheme="majorBidi"/>
                <w:sz w:val="24"/>
                <w:szCs w:val="24"/>
              </w:rPr>
            </w:pPr>
            <w:r w:rsidRPr="00FD3F57">
              <w:rPr>
                <w:rFonts w:asciiTheme="majorBidi" w:hAnsiTheme="majorBidi" w:cstheme="majorBidi"/>
                <w:sz w:val="24"/>
                <w:szCs w:val="24"/>
              </w:rPr>
              <w:t>55</w:t>
            </w:r>
          </w:p>
        </w:tc>
      </w:tr>
      <w:tr w:rsidR="00A36A02" w:rsidRPr="00FD3F57" w:rsidTr="00B16D8F">
        <w:trPr>
          <w:trHeight w:hRule="exact" w:val="361"/>
        </w:trPr>
        <w:tc>
          <w:tcPr>
            <w:tcW w:w="1218"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502" w:right="503"/>
              <w:rPr>
                <w:rFonts w:asciiTheme="majorBidi" w:hAnsiTheme="majorBidi" w:cstheme="majorBidi"/>
                <w:sz w:val="24"/>
                <w:szCs w:val="24"/>
              </w:rPr>
            </w:pPr>
            <w:r w:rsidRPr="00FD3F57">
              <w:rPr>
                <w:rFonts w:asciiTheme="majorBidi" w:hAnsiTheme="majorBidi" w:cstheme="majorBidi"/>
                <w:sz w:val="24"/>
                <w:szCs w:val="24"/>
              </w:rPr>
              <w:t>2</w:t>
            </w:r>
          </w:p>
        </w:tc>
        <w:tc>
          <w:tcPr>
            <w:tcW w:w="122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43" w:right="443"/>
              <w:rPr>
                <w:rFonts w:asciiTheme="majorBidi" w:hAnsiTheme="majorBidi" w:cstheme="majorBidi"/>
                <w:sz w:val="24"/>
                <w:szCs w:val="24"/>
              </w:rPr>
            </w:pPr>
            <w:r w:rsidRPr="00FD3F57">
              <w:rPr>
                <w:rFonts w:asciiTheme="majorBidi" w:hAnsiTheme="majorBidi" w:cstheme="majorBidi"/>
                <w:sz w:val="24"/>
                <w:szCs w:val="24"/>
              </w:rPr>
              <w:t>24</w:t>
            </w:r>
          </w:p>
        </w:tc>
        <w:tc>
          <w:tcPr>
            <w:tcW w:w="1186"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75"/>
              <w:rPr>
                <w:rFonts w:asciiTheme="majorBidi" w:hAnsiTheme="majorBidi" w:cstheme="majorBidi"/>
                <w:sz w:val="24"/>
                <w:szCs w:val="24"/>
              </w:rPr>
            </w:pPr>
            <w:r w:rsidRPr="00FD3F57">
              <w:rPr>
                <w:rFonts w:asciiTheme="majorBidi" w:hAnsiTheme="majorBidi" w:cstheme="majorBidi"/>
                <w:sz w:val="24"/>
                <w:szCs w:val="24"/>
              </w:rPr>
              <w:t>2,20</w:t>
            </w:r>
          </w:p>
        </w:tc>
        <w:tc>
          <w:tcPr>
            <w:tcW w:w="1145"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45" w:right="347"/>
              <w:rPr>
                <w:rFonts w:asciiTheme="majorBidi" w:hAnsiTheme="majorBidi" w:cstheme="majorBidi"/>
                <w:sz w:val="24"/>
                <w:szCs w:val="24"/>
              </w:rPr>
            </w:pPr>
            <w:r w:rsidRPr="00FD3F57">
              <w:rPr>
                <w:rFonts w:asciiTheme="majorBidi" w:hAnsiTheme="majorBidi" w:cstheme="majorBidi"/>
                <w:sz w:val="24"/>
                <w:szCs w:val="24"/>
              </w:rPr>
              <w:t>215</w:t>
            </w:r>
          </w:p>
        </w:tc>
        <w:tc>
          <w:tcPr>
            <w:tcW w:w="1153"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59"/>
              <w:rPr>
                <w:rFonts w:asciiTheme="majorBidi" w:hAnsiTheme="majorBidi" w:cstheme="majorBidi"/>
                <w:sz w:val="24"/>
                <w:szCs w:val="24"/>
              </w:rPr>
            </w:pPr>
            <w:r w:rsidRPr="00FD3F57">
              <w:rPr>
                <w:rFonts w:asciiTheme="majorBidi" w:hAnsiTheme="majorBidi" w:cstheme="majorBidi"/>
                <w:sz w:val="24"/>
                <w:szCs w:val="24"/>
              </w:rPr>
              <w:t>7,80</w:t>
            </w:r>
          </w:p>
        </w:tc>
        <w:tc>
          <w:tcPr>
            <w:tcW w:w="114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03" w:right="404"/>
              <w:rPr>
                <w:rFonts w:asciiTheme="majorBidi" w:hAnsiTheme="majorBidi" w:cstheme="majorBidi"/>
                <w:sz w:val="24"/>
                <w:szCs w:val="24"/>
              </w:rPr>
            </w:pPr>
            <w:r w:rsidRPr="00FD3F57">
              <w:rPr>
                <w:rFonts w:asciiTheme="majorBidi" w:hAnsiTheme="majorBidi" w:cstheme="majorBidi"/>
                <w:sz w:val="24"/>
                <w:szCs w:val="24"/>
              </w:rPr>
              <w:t>54</w:t>
            </w:r>
          </w:p>
        </w:tc>
      </w:tr>
      <w:tr w:rsidR="00A36A02" w:rsidRPr="00FD3F57" w:rsidTr="00B16D8F">
        <w:trPr>
          <w:trHeight w:hRule="exact" w:val="362"/>
        </w:trPr>
        <w:tc>
          <w:tcPr>
            <w:tcW w:w="1218"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502" w:right="503"/>
              <w:rPr>
                <w:rFonts w:asciiTheme="majorBidi" w:hAnsiTheme="majorBidi" w:cstheme="majorBidi"/>
                <w:sz w:val="24"/>
                <w:szCs w:val="24"/>
              </w:rPr>
            </w:pPr>
            <w:r w:rsidRPr="00FD3F57">
              <w:rPr>
                <w:rFonts w:asciiTheme="majorBidi" w:hAnsiTheme="majorBidi" w:cstheme="majorBidi"/>
                <w:sz w:val="24"/>
                <w:szCs w:val="24"/>
              </w:rPr>
              <w:t>4</w:t>
            </w:r>
          </w:p>
        </w:tc>
        <w:tc>
          <w:tcPr>
            <w:tcW w:w="122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43" w:right="443"/>
              <w:rPr>
                <w:rFonts w:asciiTheme="majorBidi" w:hAnsiTheme="majorBidi" w:cstheme="majorBidi"/>
                <w:sz w:val="24"/>
                <w:szCs w:val="24"/>
              </w:rPr>
            </w:pPr>
            <w:r w:rsidRPr="00FD3F57">
              <w:rPr>
                <w:rFonts w:asciiTheme="majorBidi" w:hAnsiTheme="majorBidi" w:cstheme="majorBidi"/>
                <w:sz w:val="24"/>
                <w:szCs w:val="24"/>
              </w:rPr>
              <w:t>10</w:t>
            </w:r>
          </w:p>
        </w:tc>
        <w:tc>
          <w:tcPr>
            <w:tcW w:w="1186"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75"/>
              <w:rPr>
                <w:rFonts w:asciiTheme="majorBidi" w:hAnsiTheme="majorBidi" w:cstheme="majorBidi"/>
                <w:sz w:val="24"/>
                <w:szCs w:val="24"/>
              </w:rPr>
            </w:pPr>
            <w:r w:rsidRPr="00FD3F57">
              <w:rPr>
                <w:rFonts w:asciiTheme="majorBidi" w:hAnsiTheme="majorBidi" w:cstheme="majorBidi"/>
                <w:sz w:val="24"/>
                <w:szCs w:val="24"/>
              </w:rPr>
              <w:t>2,30</w:t>
            </w:r>
          </w:p>
        </w:tc>
        <w:tc>
          <w:tcPr>
            <w:tcW w:w="1145"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05" w:right="407"/>
              <w:rPr>
                <w:rFonts w:asciiTheme="majorBidi" w:hAnsiTheme="majorBidi" w:cstheme="majorBidi"/>
                <w:sz w:val="24"/>
                <w:szCs w:val="24"/>
              </w:rPr>
            </w:pPr>
            <w:r w:rsidRPr="00FD3F57">
              <w:rPr>
                <w:rFonts w:asciiTheme="majorBidi" w:hAnsiTheme="majorBidi" w:cstheme="majorBidi"/>
                <w:sz w:val="24"/>
                <w:szCs w:val="24"/>
              </w:rPr>
              <w:t>76</w:t>
            </w:r>
          </w:p>
        </w:tc>
        <w:tc>
          <w:tcPr>
            <w:tcW w:w="1153"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359"/>
              <w:rPr>
                <w:rFonts w:asciiTheme="majorBidi" w:hAnsiTheme="majorBidi" w:cstheme="majorBidi"/>
                <w:sz w:val="24"/>
                <w:szCs w:val="24"/>
              </w:rPr>
            </w:pPr>
            <w:r w:rsidRPr="00FD3F57">
              <w:rPr>
                <w:rFonts w:asciiTheme="majorBidi" w:hAnsiTheme="majorBidi" w:cstheme="majorBidi"/>
                <w:sz w:val="24"/>
                <w:szCs w:val="24"/>
              </w:rPr>
              <w:t>9,30</w:t>
            </w:r>
          </w:p>
        </w:tc>
        <w:tc>
          <w:tcPr>
            <w:tcW w:w="1140" w:type="dxa"/>
            <w:tcBorders>
              <w:top w:val="single" w:sz="7" w:space="0" w:color="000000"/>
              <w:left w:val="single" w:sz="6" w:space="0" w:color="000000"/>
              <w:bottom w:val="single" w:sz="7" w:space="0" w:color="000000"/>
              <w:right w:val="single" w:sz="6" w:space="0" w:color="000000"/>
            </w:tcBorders>
          </w:tcPr>
          <w:p w:rsidR="00A36A02" w:rsidRPr="00FD3F57" w:rsidRDefault="00A36A02" w:rsidP="00FD3F57">
            <w:pPr>
              <w:widowControl w:val="0"/>
              <w:autoSpaceDE w:val="0"/>
              <w:autoSpaceDN w:val="0"/>
              <w:adjustRightInd w:val="0"/>
              <w:spacing w:after="0" w:line="360" w:lineRule="auto"/>
              <w:ind w:left="403" w:right="404"/>
              <w:rPr>
                <w:rFonts w:asciiTheme="majorBidi" w:hAnsiTheme="majorBidi" w:cstheme="majorBidi"/>
                <w:sz w:val="24"/>
                <w:szCs w:val="24"/>
              </w:rPr>
            </w:pPr>
            <w:r w:rsidRPr="00FD3F57">
              <w:rPr>
                <w:rFonts w:asciiTheme="majorBidi" w:hAnsiTheme="majorBidi" w:cstheme="majorBidi"/>
                <w:sz w:val="24"/>
                <w:szCs w:val="24"/>
              </w:rPr>
              <w:t>19</w:t>
            </w:r>
          </w:p>
        </w:tc>
      </w:tr>
      <w:tr w:rsidR="00A36A02" w:rsidRPr="00FD3F57" w:rsidTr="00B16D8F">
        <w:trPr>
          <w:trHeight w:hRule="exact" w:val="443"/>
        </w:trPr>
        <w:tc>
          <w:tcPr>
            <w:tcW w:w="1218"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502" w:right="503"/>
              <w:rPr>
                <w:rFonts w:asciiTheme="majorBidi" w:hAnsiTheme="majorBidi" w:cstheme="majorBidi"/>
                <w:sz w:val="24"/>
                <w:szCs w:val="24"/>
              </w:rPr>
            </w:pPr>
            <w:r w:rsidRPr="00FD3F57">
              <w:rPr>
                <w:rFonts w:asciiTheme="majorBidi" w:hAnsiTheme="majorBidi" w:cstheme="majorBidi"/>
                <w:sz w:val="24"/>
                <w:szCs w:val="24"/>
              </w:rPr>
              <w:t>6</w:t>
            </w:r>
          </w:p>
        </w:tc>
        <w:tc>
          <w:tcPr>
            <w:tcW w:w="1220"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443" w:right="443"/>
              <w:rPr>
                <w:rFonts w:asciiTheme="majorBidi" w:hAnsiTheme="majorBidi" w:cstheme="majorBidi"/>
                <w:sz w:val="24"/>
                <w:szCs w:val="24"/>
              </w:rPr>
            </w:pPr>
            <w:r w:rsidRPr="00FD3F57">
              <w:rPr>
                <w:rFonts w:asciiTheme="majorBidi" w:hAnsiTheme="majorBidi" w:cstheme="majorBidi"/>
                <w:sz w:val="24"/>
                <w:szCs w:val="24"/>
              </w:rPr>
              <w:t>10</w:t>
            </w:r>
          </w:p>
        </w:tc>
        <w:tc>
          <w:tcPr>
            <w:tcW w:w="1186"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375"/>
              <w:rPr>
                <w:rFonts w:asciiTheme="majorBidi" w:hAnsiTheme="majorBidi" w:cstheme="majorBidi"/>
                <w:sz w:val="24"/>
                <w:szCs w:val="24"/>
              </w:rPr>
            </w:pPr>
            <w:r w:rsidRPr="00FD3F57">
              <w:rPr>
                <w:rFonts w:asciiTheme="majorBidi" w:hAnsiTheme="majorBidi" w:cstheme="majorBidi"/>
                <w:sz w:val="24"/>
                <w:szCs w:val="24"/>
              </w:rPr>
              <w:t>1,60</w:t>
            </w:r>
          </w:p>
        </w:tc>
        <w:tc>
          <w:tcPr>
            <w:tcW w:w="1145"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345" w:right="347"/>
              <w:rPr>
                <w:rFonts w:asciiTheme="majorBidi" w:hAnsiTheme="majorBidi" w:cstheme="majorBidi"/>
                <w:sz w:val="24"/>
                <w:szCs w:val="24"/>
              </w:rPr>
            </w:pPr>
            <w:r w:rsidRPr="00FD3F57">
              <w:rPr>
                <w:rFonts w:asciiTheme="majorBidi" w:hAnsiTheme="majorBidi" w:cstheme="majorBidi"/>
                <w:sz w:val="24"/>
                <w:szCs w:val="24"/>
              </w:rPr>
              <w:t>114</w:t>
            </w:r>
          </w:p>
        </w:tc>
        <w:tc>
          <w:tcPr>
            <w:tcW w:w="1153"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359"/>
              <w:rPr>
                <w:rFonts w:asciiTheme="majorBidi" w:hAnsiTheme="majorBidi" w:cstheme="majorBidi"/>
                <w:sz w:val="24"/>
                <w:szCs w:val="24"/>
              </w:rPr>
            </w:pPr>
            <w:r w:rsidRPr="00FD3F57">
              <w:rPr>
                <w:rFonts w:asciiTheme="majorBidi" w:hAnsiTheme="majorBidi" w:cstheme="majorBidi"/>
                <w:sz w:val="24"/>
                <w:szCs w:val="24"/>
              </w:rPr>
              <w:t>6,20</w:t>
            </w:r>
          </w:p>
        </w:tc>
        <w:tc>
          <w:tcPr>
            <w:tcW w:w="1140" w:type="dxa"/>
            <w:tcBorders>
              <w:top w:val="single" w:sz="7" w:space="0" w:color="000000"/>
              <w:left w:val="single" w:sz="6" w:space="0" w:color="000000"/>
              <w:bottom w:val="single" w:sz="18" w:space="0" w:color="auto"/>
              <w:right w:val="single" w:sz="6" w:space="0" w:color="000000"/>
            </w:tcBorders>
          </w:tcPr>
          <w:p w:rsidR="00A36A02" w:rsidRPr="00FD3F57" w:rsidRDefault="00A36A02" w:rsidP="00FD3F57">
            <w:pPr>
              <w:widowControl w:val="0"/>
              <w:autoSpaceDE w:val="0"/>
              <w:autoSpaceDN w:val="0"/>
              <w:adjustRightInd w:val="0"/>
              <w:spacing w:after="0" w:line="360" w:lineRule="auto"/>
              <w:ind w:left="403" w:right="404"/>
              <w:rPr>
                <w:rFonts w:asciiTheme="majorBidi" w:hAnsiTheme="majorBidi" w:cstheme="majorBidi"/>
                <w:sz w:val="24"/>
                <w:szCs w:val="24"/>
              </w:rPr>
            </w:pPr>
            <w:r w:rsidRPr="00FD3F57">
              <w:rPr>
                <w:rFonts w:asciiTheme="majorBidi" w:hAnsiTheme="majorBidi" w:cstheme="majorBidi"/>
                <w:sz w:val="24"/>
                <w:szCs w:val="24"/>
              </w:rPr>
              <w:t>28</w:t>
            </w:r>
          </w:p>
        </w:tc>
      </w:tr>
    </w:tbl>
    <w:p w:rsidR="002B78DD" w:rsidRPr="00FD3F57" w:rsidRDefault="002B78DD" w:rsidP="00FD3F57">
      <w:pPr>
        <w:widowControl w:val="0"/>
        <w:autoSpaceDE w:val="0"/>
        <w:autoSpaceDN w:val="0"/>
        <w:adjustRightInd w:val="0"/>
        <w:spacing w:before="5" w:after="0" w:line="360" w:lineRule="auto"/>
        <w:ind w:left="117" w:right="3089"/>
        <w:rPr>
          <w:rFonts w:asciiTheme="majorBidi" w:hAnsiTheme="majorBidi" w:cstheme="majorBidi"/>
          <w:sz w:val="24"/>
          <w:szCs w:val="24"/>
        </w:rPr>
      </w:pPr>
    </w:p>
    <w:p w:rsidR="002B78DD" w:rsidRPr="00FD3F57" w:rsidRDefault="002B78DD" w:rsidP="00FD3F57">
      <w:pPr>
        <w:widowControl w:val="0"/>
        <w:autoSpaceDE w:val="0"/>
        <w:autoSpaceDN w:val="0"/>
        <w:adjustRightInd w:val="0"/>
        <w:spacing w:before="5" w:after="0" w:line="360" w:lineRule="auto"/>
        <w:ind w:right="3089"/>
        <w:rPr>
          <w:rFonts w:asciiTheme="majorBidi" w:hAnsiTheme="majorBidi" w:cstheme="majorBidi"/>
          <w:sz w:val="24"/>
          <w:szCs w:val="24"/>
        </w:rPr>
      </w:pPr>
    </w:p>
    <w:p w:rsidR="00A36A02" w:rsidRPr="00FD3F57" w:rsidRDefault="00A36A02" w:rsidP="00FD3F57">
      <w:pPr>
        <w:widowControl w:val="0"/>
        <w:autoSpaceDE w:val="0"/>
        <w:autoSpaceDN w:val="0"/>
        <w:adjustRightInd w:val="0"/>
        <w:spacing w:before="16" w:after="0" w:line="360" w:lineRule="auto"/>
        <w:rPr>
          <w:rFonts w:asciiTheme="majorBidi" w:hAnsiTheme="majorBidi" w:cstheme="majorBidi"/>
          <w:sz w:val="24"/>
          <w:szCs w:val="24"/>
        </w:rPr>
      </w:pPr>
    </w:p>
    <w:p w:rsidR="00A36A02" w:rsidRPr="00FD3F57" w:rsidRDefault="00A36A02" w:rsidP="00FD3F57">
      <w:pPr>
        <w:widowControl w:val="0"/>
        <w:autoSpaceDE w:val="0"/>
        <w:autoSpaceDN w:val="0"/>
        <w:adjustRightInd w:val="0"/>
        <w:spacing w:before="16" w:after="0" w:line="360" w:lineRule="auto"/>
        <w:rPr>
          <w:rFonts w:asciiTheme="majorBidi" w:hAnsiTheme="majorBidi" w:cstheme="majorBidi"/>
          <w:sz w:val="24"/>
          <w:szCs w:val="24"/>
        </w:rPr>
      </w:pPr>
    </w:p>
    <w:p w:rsidR="00A36A02" w:rsidRPr="00FD3F57" w:rsidRDefault="00A36A02" w:rsidP="00FD3F57">
      <w:pPr>
        <w:widowControl w:val="0"/>
        <w:autoSpaceDE w:val="0"/>
        <w:autoSpaceDN w:val="0"/>
        <w:adjustRightInd w:val="0"/>
        <w:spacing w:before="16" w:after="0" w:line="360" w:lineRule="auto"/>
        <w:rPr>
          <w:rFonts w:asciiTheme="majorBidi" w:hAnsiTheme="majorBidi" w:cstheme="majorBidi"/>
          <w:sz w:val="24"/>
          <w:szCs w:val="24"/>
        </w:rPr>
      </w:pPr>
    </w:p>
    <w:p w:rsidR="00FD3F57" w:rsidRDefault="00FD3F57" w:rsidP="00FD3F57">
      <w:pPr>
        <w:widowControl w:val="0"/>
        <w:autoSpaceDE w:val="0"/>
        <w:autoSpaceDN w:val="0"/>
        <w:adjustRightInd w:val="0"/>
        <w:spacing w:before="16" w:after="0" w:line="360" w:lineRule="auto"/>
        <w:jc w:val="center"/>
        <w:rPr>
          <w:rFonts w:asciiTheme="majorBidi" w:hAnsiTheme="majorBidi" w:cstheme="majorBidi"/>
          <w:b/>
          <w:bCs/>
          <w:sz w:val="24"/>
          <w:szCs w:val="24"/>
        </w:rPr>
      </w:pPr>
    </w:p>
    <w:p w:rsidR="00B16D8F" w:rsidRPr="00FD3F57" w:rsidRDefault="00B16D8F" w:rsidP="00FD3F57">
      <w:pPr>
        <w:widowControl w:val="0"/>
        <w:autoSpaceDE w:val="0"/>
        <w:autoSpaceDN w:val="0"/>
        <w:adjustRightInd w:val="0"/>
        <w:spacing w:before="16" w:after="0" w:line="360" w:lineRule="auto"/>
        <w:jc w:val="center"/>
        <w:rPr>
          <w:rFonts w:asciiTheme="majorBidi" w:hAnsiTheme="majorBidi" w:cstheme="majorBidi"/>
          <w:b/>
          <w:bCs/>
          <w:sz w:val="24"/>
          <w:szCs w:val="24"/>
        </w:rPr>
      </w:pPr>
      <w:r w:rsidRPr="00FD3F57">
        <w:rPr>
          <w:rFonts w:asciiTheme="majorBidi" w:hAnsiTheme="majorBidi" w:cstheme="majorBidi"/>
          <w:b/>
          <w:bCs/>
          <w:sz w:val="24"/>
          <w:szCs w:val="24"/>
        </w:rPr>
        <w:t>Tableau 2-1 :Quelques valeurs de Ns et de γ</w:t>
      </w:r>
    </w:p>
    <w:p w:rsidR="00B16D8F" w:rsidRPr="00FD3F57" w:rsidRDefault="00B16D8F" w:rsidP="00FD3F57">
      <w:pPr>
        <w:widowControl w:val="0"/>
        <w:autoSpaceDE w:val="0"/>
        <w:autoSpaceDN w:val="0"/>
        <w:adjustRightInd w:val="0"/>
        <w:spacing w:before="16" w:after="0" w:line="360" w:lineRule="auto"/>
        <w:jc w:val="center"/>
        <w:rPr>
          <w:rFonts w:asciiTheme="majorBidi" w:hAnsiTheme="majorBidi" w:cstheme="majorBidi"/>
          <w:b/>
          <w:bCs/>
          <w:sz w:val="24"/>
          <w:szCs w:val="24"/>
        </w:rPr>
      </w:pPr>
    </w:p>
    <w:p w:rsidR="002B78DD" w:rsidRPr="00FD3F57" w:rsidRDefault="00B16D8F" w:rsidP="00FD3F57">
      <w:pPr>
        <w:widowControl w:val="0"/>
        <w:autoSpaceDE w:val="0"/>
        <w:autoSpaceDN w:val="0"/>
        <w:adjustRightInd w:val="0"/>
        <w:spacing w:before="16" w:after="0" w:line="360" w:lineRule="auto"/>
        <w:rPr>
          <w:rFonts w:asciiTheme="majorBidi" w:hAnsiTheme="majorBidi" w:cstheme="majorBidi"/>
          <w:b/>
          <w:bCs/>
          <w:sz w:val="24"/>
          <w:szCs w:val="24"/>
        </w:rPr>
      </w:pPr>
      <w:r w:rsidRPr="00FD3F57">
        <w:rPr>
          <w:rFonts w:asciiTheme="majorBidi" w:hAnsiTheme="majorBidi" w:cstheme="majorBidi"/>
          <w:b/>
          <w:bCs/>
          <w:sz w:val="24"/>
          <w:szCs w:val="24"/>
        </w:rPr>
        <w:t>2-4-</w:t>
      </w:r>
      <w:r w:rsidR="002B78DD" w:rsidRPr="00FD3F57">
        <w:rPr>
          <w:rFonts w:asciiTheme="majorBidi" w:hAnsiTheme="majorBidi" w:cstheme="majorBidi"/>
          <w:b/>
          <w:bCs/>
          <w:sz w:val="24"/>
          <w:szCs w:val="24"/>
        </w:rPr>
        <w:t>Caractéristiques des palpeurs :</w:t>
      </w:r>
    </w:p>
    <w:p w:rsidR="002B78DD" w:rsidRPr="00FD3F57" w:rsidRDefault="002B78DD" w:rsidP="00FD3F57">
      <w:pPr>
        <w:widowControl w:val="0"/>
        <w:autoSpaceDE w:val="0"/>
        <w:autoSpaceDN w:val="0"/>
        <w:adjustRightInd w:val="0"/>
        <w:spacing w:after="0" w:line="360" w:lineRule="auto"/>
        <w:ind w:left="117" w:right="70"/>
        <w:rPr>
          <w:rFonts w:asciiTheme="majorBidi" w:hAnsiTheme="majorBidi" w:cstheme="majorBidi"/>
          <w:sz w:val="24"/>
          <w:szCs w:val="24"/>
        </w:rPr>
      </w:pPr>
      <w:r w:rsidRPr="00FD3F57">
        <w:rPr>
          <w:rFonts w:asciiTheme="majorBidi" w:hAnsiTheme="majorBidi" w:cstheme="majorBidi"/>
          <w:sz w:val="24"/>
          <w:szCs w:val="24"/>
        </w:rPr>
        <w:t>La précision des sondages dépend beaucoup du choix de la sonde et en particulier de sa fréquence de résonance. Sa valeur est d'habitude indiquée sur le boîtier du palpeur. Ses caractéristiques principales sont la sensibilité et son pouvoir de résolution.</w:t>
      </w:r>
    </w:p>
    <w:p w:rsidR="002B78DD" w:rsidRPr="00FD3F57" w:rsidRDefault="002B78DD" w:rsidP="00FD3F57">
      <w:pPr>
        <w:widowControl w:val="0"/>
        <w:tabs>
          <w:tab w:val="left" w:pos="820"/>
        </w:tabs>
        <w:autoSpaceDE w:val="0"/>
        <w:autoSpaceDN w:val="0"/>
        <w:adjustRightInd w:val="0"/>
        <w:spacing w:after="0" w:line="360" w:lineRule="auto"/>
        <w:ind w:left="477"/>
        <w:rPr>
          <w:rFonts w:asciiTheme="majorBidi" w:hAnsiTheme="majorBidi" w:cstheme="majorBidi"/>
          <w:sz w:val="24"/>
          <w:szCs w:val="24"/>
        </w:rPr>
      </w:pPr>
      <w:r w:rsidRPr="00FD3F57">
        <w:rPr>
          <w:rFonts w:asciiTheme="majorBidi" w:hAnsiTheme="majorBidi" w:cstheme="majorBidi"/>
          <w:sz w:val="24"/>
          <w:szCs w:val="24"/>
        </w:rPr>
        <w:t>-</w:t>
      </w:r>
      <w:r w:rsidRPr="00FD3F57">
        <w:rPr>
          <w:rFonts w:asciiTheme="majorBidi" w:hAnsiTheme="majorBidi" w:cstheme="majorBidi"/>
          <w:sz w:val="24"/>
          <w:szCs w:val="24"/>
        </w:rPr>
        <w:tab/>
        <w:t>La sensibilité est le rapport entre l'intensité de l'écho pour un défaut de taille donnée</w:t>
      </w:r>
    </w:p>
    <w:p w:rsidR="002B78DD" w:rsidRPr="00FD3F57" w:rsidRDefault="002B78DD" w:rsidP="00FD3F57">
      <w:pPr>
        <w:widowControl w:val="0"/>
        <w:autoSpaceDE w:val="0"/>
        <w:autoSpaceDN w:val="0"/>
        <w:adjustRightInd w:val="0"/>
        <w:spacing w:before="69" w:after="0" w:line="360" w:lineRule="auto"/>
        <w:ind w:left="837"/>
        <w:rPr>
          <w:rFonts w:asciiTheme="majorBidi" w:hAnsiTheme="majorBidi" w:cstheme="majorBidi"/>
          <w:sz w:val="24"/>
          <w:szCs w:val="24"/>
        </w:rPr>
      </w:pPr>
      <w:r w:rsidRPr="00FD3F57">
        <w:rPr>
          <w:rFonts w:asciiTheme="majorBidi" w:hAnsiTheme="majorBidi" w:cstheme="majorBidi"/>
          <w:sz w:val="24"/>
          <w:szCs w:val="24"/>
        </w:rPr>
        <w:t>(Étant donné un contact parfait à l'interface) et l'intensité d'émission.</w:t>
      </w:r>
    </w:p>
    <w:p w:rsidR="002B78DD" w:rsidRPr="00FD3F57" w:rsidRDefault="002B78DD" w:rsidP="00FD3F57">
      <w:pPr>
        <w:widowControl w:val="0"/>
        <w:tabs>
          <w:tab w:val="left" w:pos="820"/>
        </w:tabs>
        <w:autoSpaceDE w:val="0"/>
        <w:autoSpaceDN w:val="0"/>
        <w:adjustRightInd w:val="0"/>
        <w:spacing w:before="71" w:after="0" w:line="360" w:lineRule="auto"/>
        <w:ind w:left="837" w:right="69" w:hanging="360"/>
        <w:rPr>
          <w:rFonts w:asciiTheme="majorBidi" w:hAnsiTheme="majorBidi" w:cstheme="majorBidi"/>
          <w:sz w:val="24"/>
          <w:szCs w:val="24"/>
        </w:rPr>
      </w:pPr>
      <w:r w:rsidRPr="00FD3F57">
        <w:rPr>
          <w:rFonts w:asciiTheme="majorBidi" w:hAnsiTheme="majorBidi" w:cstheme="majorBidi"/>
          <w:sz w:val="24"/>
          <w:szCs w:val="24"/>
        </w:rPr>
        <w:t>-</w:t>
      </w:r>
      <w:r w:rsidRPr="00FD3F57">
        <w:rPr>
          <w:rFonts w:asciiTheme="majorBidi" w:hAnsiTheme="majorBidi" w:cstheme="majorBidi"/>
          <w:sz w:val="24"/>
          <w:szCs w:val="24"/>
        </w:rPr>
        <w:tab/>
        <w:t>Le pouvoir de résolution est défini comme la finesse des impulsions ou encore par la distance minimum entre deux défauts qui peuvent encore être distingués.</w:t>
      </w:r>
    </w:p>
    <w:p w:rsidR="002B78DD" w:rsidRPr="00FD3F57" w:rsidRDefault="002B78DD" w:rsidP="00FD3F57">
      <w:pPr>
        <w:widowControl w:val="0"/>
        <w:autoSpaceDE w:val="0"/>
        <w:autoSpaceDN w:val="0"/>
        <w:adjustRightInd w:val="0"/>
        <w:spacing w:after="0" w:line="360" w:lineRule="auto"/>
        <w:ind w:left="117" w:right="1676"/>
        <w:rPr>
          <w:rFonts w:asciiTheme="majorBidi" w:hAnsiTheme="majorBidi" w:cstheme="majorBidi"/>
          <w:sz w:val="24"/>
          <w:szCs w:val="24"/>
        </w:rPr>
      </w:pPr>
      <w:r w:rsidRPr="00FD3F57">
        <w:rPr>
          <w:rFonts w:asciiTheme="majorBidi" w:hAnsiTheme="majorBidi" w:cstheme="majorBidi"/>
          <w:sz w:val="24"/>
          <w:szCs w:val="24"/>
        </w:rPr>
        <w:t>Les sondes à basse fréquence (0,5 – 1.5 MHz) ont les caractéristiques suivantes :</w:t>
      </w:r>
    </w:p>
    <w:p w:rsidR="002B78DD" w:rsidRPr="00FD3F57" w:rsidRDefault="002B78DD" w:rsidP="00FD3F57">
      <w:pPr>
        <w:widowControl w:val="0"/>
        <w:autoSpaceDE w:val="0"/>
        <w:autoSpaceDN w:val="0"/>
        <w:adjustRightInd w:val="0"/>
        <w:spacing w:after="0" w:line="360" w:lineRule="auto"/>
        <w:ind w:right="1676"/>
        <w:rPr>
          <w:rFonts w:asciiTheme="majorBidi" w:hAnsiTheme="majorBidi" w:cstheme="majorBidi"/>
          <w:sz w:val="24"/>
          <w:szCs w:val="24"/>
        </w:rPr>
      </w:pPr>
      <w:r w:rsidRPr="00FD3F57">
        <w:rPr>
          <w:rFonts w:asciiTheme="majorBidi" w:hAnsiTheme="majorBidi" w:cstheme="majorBidi"/>
          <w:sz w:val="24"/>
          <w:szCs w:val="24"/>
        </w:rPr>
        <w:t>Les sondes à basse fréquence (0,5 – 1.5 MHz) ont les caractéristiques suivantes :</w:t>
      </w:r>
    </w:p>
    <w:p w:rsidR="002B78DD" w:rsidRPr="00FD3F57" w:rsidRDefault="002B78DD" w:rsidP="00FD3F57">
      <w:pPr>
        <w:widowControl w:val="0"/>
        <w:autoSpaceDE w:val="0"/>
        <w:autoSpaceDN w:val="0"/>
        <w:adjustRightInd w:val="0"/>
        <w:spacing w:after="0" w:line="360" w:lineRule="auto"/>
        <w:ind w:left="117" w:right="1676"/>
        <w:rPr>
          <w:rFonts w:asciiTheme="majorBidi" w:hAnsiTheme="majorBidi" w:cstheme="majorBidi"/>
          <w:sz w:val="24"/>
          <w:szCs w:val="24"/>
        </w:rPr>
      </w:pPr>
      <w:r w:rsidRPr="00FD3F57">
        <w:rPr>
          <w:rFonts w:asciiTheme="majorBidi" w:hAnsiTheme="majorBidi" w:cstheme="majorBidi"/>
          <w:sz w:val="24"/>
          <w:szCs w:val="24"/>
        </w:rPr>
        <w:t>Les sondes à basse fréquence (0,5 – 1.5 MHz) ont les caractéristiques suivantes :</w:t>
      </w:r>
    </w:p>
    <w:p w:rsidR="002B78DD" w:rsidRPr="00FD3F57" w:rsidRDefault="002B78DD" w:rsidP="00FD3F57">
      <w:pPr>
        <w:widowControl w:val="0"/>
        <w:autoSpaceDE w:val="0"/>
        <w:autoSpaceDN w:val="0"/>
        <w:adjustRightInd w:val="0"/>
        <w:spacing w:after="0" w:line="360" w:lineRule="auto"/>
        <w:ind w:left="117" w:right="1856"/>
        <w:rPr>
          <w:rFonts w:asciiTheme="majorBidi" w:hAnsiTheme="majorBidi" w:cstheme="majorBidi"/>
          <w:sz w:val="24"/>
          <w:szCs w:val="24"/>
        </w:rPr>
      </w:pPr>
      <w:r w:rsidRPr="00FD3F57">
        <w:rPr>
          <w:rFonts w:asciiTheme="majorBidi" w:hAnsiTheme="majorBidi" w:cstheme="majorBidi"/>
          <w:sz w:val="24"/>
          <w:szCs w:val="24"/>
        </w:rPr>
        <w:t>Les sondes à haute fréquence (2 - 6 MHz) ont les caractéristiques suivantes :</w:t>
      </w:r>
    </w:p>
    <w:p w:rsidR="002B78DD" w:rsidRPr="00FD3F57" w:rsidRDefault="002B78DD" w:rsidP="00FD3F57">
      <w:pPr>
        <w:widowControl w:val="0"/>
        <w:tabs>
          <w:tab w:val="left" w:pos="820"/>
        </w:tabs>
        <w:autoSpaceDE w:val="0"/>
        <w:autoSpaceDN w:val="0"/>
        <w:adjustRightInd w:val="0"/>
        <w:spacing w:after="0" w:line="360" w:lineRule="auto"/>
        <w:rPr>
          <w:rFonts w:asciiTheme="majorBidi" w:hAnsiTheme="majorBidi" w:cstheme="majorBidi"/>
          <w:sz w:val="24"/>
          <w:szCs w:val="24"/>
        </w:rPr>
      </w:pPr>
      <w:r w:rsidRPr="00FD3F57">
        <w:rPr>
          <w:rFonts w:asciiTheme="majorBidi" w:hAnsiTheme="majorBidi" w:cstheme="majorBidi"/>
          <w:sz w:val="24"/>
          <w:szCs w:val="24"/>
        </w:rPr>
        <w:t>-une bonne sensibilité pour les petits défauts</w:t>
      </w:r>
    </w:p>
    <w:p w:rsidR="002B78DD" w:rsidRPr="00FD3F57" w:rsidRDefault="002B78DD" w:rsidP="00FD3F57">
      <w:pPr>
        <w:widowControl w:val="0"/>
        <w:tabs>
          <w:tab w:val="left" w:pos="820"/>
        </w:tabs>
        <w:autoSpaceDE w:val="0"/>
        <w:autoSpaceDN w:val="0"/>
        <w:adjustRightInd w:val="0"/>
        <w:spacing w:before="71" w:after="0" w:line="360" w:lineRule="auto"/>
        <w:rPr>
          <w:rFonts w:asciiTheme="majorBidi" w:hAnsiTheme="majorBidi" w:cstheme="majorBidi"/>
          <w:sz w:val="24"/>
          <w:szCs w:val="24"/>
        </w:rPr>
      </w:pPr>
      <w:r w:rsidRPr="00FD3F57">
        <w:rPr>
          <w:rFonts w:asciiTheme="majorBidi" w:hAnsiTheme="majorBidi" w:cstheme="majorBidi"/>
          <w:sz w:val="24"/>
          <w:szCs w:val="24"/>
        </w:rPr>
        <w:lastRenderedPageBreak/>
        <w:t>-un bon pouvoir de résolution</w:t>
      </w:r>
    </w:p>
    <w:p w:rsidR="002B78DD" w:rsidRPr="00FD3F57" w:rsidRDefault="002B78DD" w:rsidP="00FD3F57">
      <w:pPr>
        <w:widowControl w:val="0"/>
        <w:tabs>
          <w:tab w:val="left" w:pos="820"/>
        </w:tabs>
        <w:autoSpaceDE w:val="0"/>
        <w:autoSpaceDN w:val="0"/>
        <w:adjustRightInd w:val="0"/>
        <w:spacing w:before="69" w:after="0" w:line="360" w:lineRule="auto"/>
        <w:rPr>
          <w:rFonts w:asciiTheme="majorBidi" w:hAnsiTheme="majorBidi" w:cstheme="majorBidi"/>
          <w:sz w:val="24"/>
          <w:szCs w:val="24"/>
        </w:rPr>
      </w:pPr>
      <w:r w:rsidRPr="00FD3F57">
        <w:rPr>
          <w:rFonts w:asciiTheme="majorBidi" w:hAnsiTheme="majorBidi" w:cstheme="majorBidi"/>
          <w:sz w:val="24"/>
          <w:szCs w:val="24"/>
        </w:rPr>
        <w:t>-le faisceau sonore est concentré et de ce fait indique précisément la position du défaut.</w:t>
      </w:r>
    </w:p>
    <w:p w:rsidR="002B78DD" w:rsidRPr="00FD3F57" w:rsidRDefault="002B78DD" w:rsidP="00FD3F57">
      <w:pPr>
        <w:widowControl w:val="0"/>
        <w:autoSpaceDE w:val="0"/>
        <w:autoSpaceDN w:val="0"/>
        <w:adjustRightInd w:val="0"/>
        <w:spacing w:after="0" w:line="360" w:lineRule="auto"/>
        <w:ind w:left="117" w:right="70"/>
        <w:rPr>
          <w:rFonts w:asciiTheme="majorBidi" w:hAnsiTheme="majorBidi" w:cstheme="majorBidi"/>
          <w:sz w:val="24"/>
          <w:szCs w:val="24"/>
        </w:rPr>
      </w:pPr>
      <w:r w:rsidRPr="00FD3F57">
        <w:rPr>
          <w:rFonts w:asciiTheme="majorBidi" w:hAnsiTheme="majorBidi" w:cstheme="majorBidi"/>
          <w:sz w:val="24"/>
          <w:szCs w:val="24"/>
        </w:rPr>
        <w:t>Ces sondes ne peuvent balayer de grandes distances (en général limitées à 1 m) que dans des matériaux homogènes et peu absorbants. Elles exigent un bon état de surface.</w:t>
      </w:r>
    </w:p>
    <w:p w:rsidR="00B16D8F" w:rsidRPr="00FD3F57" w:rsidRDefault="002B78DD" w:rsidP="00FD3F57">
      <w:pPr>
        <w:widowControl w:val="0"/>
        <w:autoSpaceDE w:val="0"/>
        <w:autoSpaceDN w:val="0"/>
        <w:adjustRightInd w:val="0"/>
        <w:spacing w:after="0" w:line="360" w:lineRule="auto"/>
        <w:ind w:left="117" w:right="65"/>
        <w:rPr>
          <w:rFonts w:asciiTheme="majorBidi" w:hAnsiTheme="majorBidi" w:cstheme="majorBidi"/>
          <w:sz w:val="24"/>
          <w:szCs w:val="24"/>
        </w:rPr>
      </w:pPr>
      <w:r w:rsidRPr="00FD3F57">
        <w:rPr>
          <w:rFonts w:asciiTheme="majorBidi" w:hAnsiTheme="majorBidi" w:cstheme="majorBidi"/>
          <w:sz w:val="24"/>
          <w:szCs w:val="24"/>
        </w:rPr>
        <w:t>Les palpeurs construits avec des matériaux ferroélectriques, comme le BaTiO3   ou le PbZrO3- PbTiO3   (= PZT), sont plus sensibles et ont un pouvoir de résolution plus élevé que les palpeurs construits avec un monocristal de quartz. Ceci s'explique par le fait que les matériaux ferroélectriques mentionnés ci-dessus, transforment davantage d'énergie électrique en énergie mécanique. [143]</w:t>
      </w:r>
    </w:p>
    <w:p w:rsidR="00B16D8F" w:rsidRPr="00FD3F57" w:rsidRDefault="00B16D8F" w:rsidP="00FD3F57">
      <w:pPr>
        <w:widowControl w:val="0"/>
        <w:autoSpaceDE w:val="0"/>
        <w:autoSpaceDN w:val="0"/>
        <w:adjustRightInd w:val="0"/>
        <w:spacing w:after="0" w:line="360" w:lineRule="auto"/>
        <w:ind w:left="117" w:right="65"/>
        <w:rPr>
          <w:rFonts w:asciiTheme="majorBidi" w:hAnsiTheme="majorBidi" w:cstheme="majorBidi"/>
          <w:sz w:val="24"/>
          <w:szCs w:val="24"/>
        </w:rPr>
      </w:pPr>
    </w:p>
    <w:p w:rsidR="002B78DD" w:rsidRPr="00FD3F57" w:rsidRDefault="00A36A02" w:rsidP="00FD3F57">
      <w:pPr>
        <w:widowControl w:val="0"/>
        <w:autoSpaceDE w:val="0"/>
        <w:autoSpaceDN w:val="0"/>
        <w:adjustRightInd w:val="0"/>
        <w:spacing w:after="0" w:line="360" w:lineRule="auto"/>
        <w:ind w:left="117" w:right="65"/>
        <w:rPr>
          <w:rFonts w:asciiTheme="majorBidi" w:hAnsiTheme="majorBidi" w:cstheme="majorBidi"/>
          <w:b/>
          <w:bCs/>
          <w:sz w:val="24"/>
          <w:szCs w:val="24"/>
        </w:rPr>
      </w:pPr>
      <w:r w:rsidRPr="00FD3F57">
        <w:rPr>
          <w:rFonts w:asciiTheme="majorBidi" w:hAnsiTheme="majorBidi" w:cstheme="majorBidi"/>
          <w:b/>
          <w:bCs/>
          <w:sz w:val="24"/>
          <w:szCs w:val="24"/>
        </w:rPr>
        <w:t>2-5</w:t>
      </w:r>
      <w:r w:rsidR="002B78DD" w:rsidRPr="00FD3F57">
        <w:rPr>
          <w:rFonts w:asciiTheme="majorBidi" w:hAnsiTheme="majorBidi" w:cstheme="majorBidi"/>
          <w:b/>
          <w:bCs/>
          <w:sz w:val="24"/>
          <w:szCs w:val="24"/>
        </w:rPr>
        <w:t>-Principe du sondage par ultrasons :</w:t>
      </w:r>
    </w:p>
    <w:p w:rsidR="002B78DD" w:rsidRPr="00FD3F57" w:rsidRDefault="002B78DD" w:rsidP="00FD3F57">
      <w:pPr>
        <w:widowControl w:val="0"/>
        <w:tabs>
          <w:tab w:val="left" w:pos="820"/>
        </w:tabs>
        <w:autoSpaceDE w:val="0"/>
        <w:autoSpaceDN w:val="0"/>
        <w:adjustRightInd w:val="0"/>
        <w:spacing w:before="71" w:after="0" w:line="360" w:lineRule="auto"/>
        <w:ind w:left="477"/>
        <w:rPr>
          <w:rFonts w:asciiTheme="majorBidi" w:hAnsiTheme="majorBidi" w:cstheme="majorBidi"/>
          <w:sz w:val="24"/>
          <w:szCs w:val="24"/>
        </w:rPr>
      </w:pPr>
      <w:r w:rsidRPr="00FD3F57">
        <w:rPr>
          <w:rFonts w:asciiTheme="majorBidi" w:hAnsiTheme="majorBidi" w:cstheme="majorBidi"/>
          <w:sz w:val="24"/>
          <w:szCs w:val="24"/>
        </w:rPr>
        <w:t>Le sondage par ultrasons peut servir à plusieurs buts :</w:t>
      </w:r>
    </w:p>
    <w:p w:rsidR="002B78DD" w:rsidRPr="00FD3F57" w:rsidRDefault="002B78DD" w:rsidP="00FD3F57">
      <w:pPr>
        <w:widowControl w:val="0"/>
        <w:tabs>
          <w:tab w:val="left" w:pos="820"/>
        </w:tabs>
        <w:autoSpaceDE w:val="0"/>
        <w:autoSpaceDN w:val="0"/>
        <w:adjustRightInd w:val="0"/>
        <w:spacing w:before="71" w:after="0" w:line="360" w:lineRule="auto"/>
        <w:ind w:left="477"/>
        <w:rPr>
          <w:rFonts w:asciiTheme="majorBidi" w:hAnsiTheme="majorBidi" w:cstheme="majorBidi"/>
          <w:sz w:val="24"/>
          <w:szCs w:val="24"/>
        </w:rPr>
      </w:pPr>
      <w:r w:rsidRPr="00FD3F57">
        <w:rPr>
          <w:rFonts w:asciiTheme="majorBidi" w:hAnsiTheme="majorBidi" w:cstheme="majorBidi"/>
          <w:sz w:val="24"/>
          <w:szCs w:val="24"/>
        </w:rPr>
        <w:t xml:space="preserve"> -Détection de défauts de toutes sortes (fissures, inclusions, porosités)</w:t>
      </w:r>
    </w:p>
    <w:p w:rsidR="002B78DD" w:rsidRPr="00FD3F57" w:rsidRDefault="002B78DD" w:rsidP="00FD3F57">
      <w:pPr>
        <w:widowControl w:val="0"/>
        <w:tabs>
          <w:tab w:val="left" w:pos="820"/>
        </w:tabs>
        <w:autoSpaceDE w:val="0"/>
        <w:autoSpaceDN w:val="0"/>
        <w:adjustRightInd w:val="0"/>
        <w:spacing w:before="69" w:after="0" w:line="360" w:lineRule="auto"/>
        <w:ind w:left="837" w:right="69" w:hanging="360"/>
        <w:rPr>
          <w:rFonts w:asciiTheme="majorBidi" w:hAnsiTheme="majorBidi" w:cstheme="majorBidi"/>
          <w:sz w:val="24"/>
          <w:szCs w:val="24"/>
        </w:rPr>
      </w:pPr>
      <w:r w:rsidRPr="00FD3F57">
        <w:rPr>
          <w:rFonts w:asciiTheme="majorBidi" w:hAnsiTheme="majorBidi" w:cstheme="majorBidi"/>
          <w:sz w:val="24"/>
          <w:szCs w:val="24"/>
        </w:rPr>
        <w:t>-Mesure  de  profondeur  ou  épaisseur  (par  exemple:  pièce  dont  un  seul  côté  est</w:t>
      </w:r>
    </w:p>
    <w:p w:rsidR="002B78DD" w:rsidRPr="00FD3F57" w:rsidRDefault="002B78DD" w:rsidP="00FD3F57">
      <w:pPr>
        <w:widowControl w:val="0"/>
        <w:tabs>
          <w:tab w:val="left" w:pos="820"/>
        </w:tabs>
        <w:autoSpaceDE w:val="0"/>
        <w:autoSpaceDN w:val="0"/>
        <w:adjustRightInd w:val="0"/>
        <w:spacing w:before="69" w:after="0" w:line="360" w:lineRule="auto"/>
        <w:ind w:left="837" w:right="69" w:hanging="360"/>
        <w:rPr>
          <w:rFonts w:asciiTheme="majorBidi" w:hAnsiTheme="majorBidi" w:cstheme="majorBidi"/>
          <w:sz w:val="24"/>
          <w:szCs w:val="24"/>
        </w:rPr>
      </w:pPr>
      <w:r w:rsidRPr="00FD3F57">
        <w:rPr>
          <w:rFonts w:asciiTheme="majorBidi" w:hAnsiTheme="majorBidi" w:cstheme="majorBidi"/>
          <w:sz w:val="24"/>
          <w:szCs w:val="24"/>
        </w:rPr>
        <w:t>accessible, sondage des fonds marins etc.)</w:t>
      </w:r>
    </w:p>
    <w:p w:rsidR="002B78DD" w:rsidRPr="00FD3F57" w:rsidRDefault="002B78DD" w:rsidP="00FD3F57">
      <w:pPr>
        <w:widowControl w:val="0"/>
        <w:tabs>
          <w:tab w:val="left" w:pos="820"/>
        </w:tabs>
        <w:autoSpaceDE w:val="0"/>
        <w:autoSpaceDN w:val="0"/>
        <w:adjustRightInd w:val="0"/>
        <w:spacing w:before="2" w:after="0" w:line="360" w:lineRule="auto"/>
        <w:ind w:left="477"/>
        <w:rPr>
          <w:rFonts w:asciiTheme="majorBidi" w:hAnsiTheme="majorBidi" w:cstheme="majorBidi"/>
          <w:sz w:val="24"/>
          <w:szCs w:val="24"/>
        </w:rPr>
      </w:pPr>
      <w:r w:rsidRPr="00FD3F57">
        <w:rPr>
          <w:rFonts w:asciiTheme="majorBidi" w:hAnsiTheme="majorBidi" w:cstheme="majorBidi"/>
          <w:sz w:val="24"/>
          <w:szCs w:val="24"/>
        </w:rPr>
        <w:t>-Mesure des constantes élastiques par l'intermédiaire d'une mesure de la vitesse du son.</w:t>
      </w:r>
    </w:p>
    <w:p w:rsidR="002B78DD" w:rsidRPr="00FD3F57" w:rsidRDefault="002B78DD" w:rsidP="00FD3F57">
      <w:pPr>
        <w:widowControl w:val="0"/>
        <w:tabs>
          <w:tab w:val="left" w:pos="820"/>
        </w:tabs>
        <w:autoSpaceDE w:val="0"/>
        <w:autoSpaceDN w:val="0"/>
        <w:adjustRightInd w:val="0"/>
        <w:spacing w:before="71" w:after="0" w:line="360" w:lineRule="auto"/>
        <w:ind w:left="477"/>
        <w:rPr>
          <w:rFonts w:asciiTheme="majorBidi" w:hAnsiTheme="majorBidi" w:cstheme="majorBidi"/>
          <w:sz w:val="24"/>
          <w:szCs w:val="24"/>
        </w:rPr>
      </w:pPr>
      <w:r w:rsidRPr="00FD3F57">
        <w:rPr>
          <w:rFonts w:asciiTheme="majorBidi" w:hAnsiTheme="majorBidi" w:cstheme="majorBidi"/>
          <w:sz w:val="24"/>
          <w:szCs w:val="24"/>
        </w:rPr>
        <w:t>-Sondage médical (échographie), etc.</w:t>
      </w:r>
    </w:p>
    <w:p w:rsidR="002B78DD" w:rsidRPr="00FD3F57" w:rsidRDefault="002B78DD" w:rsidP="00FD3F57">
      <w:pPr>
        <w:widowControl w:val="0"/>
        <w:autoSpaceDE w:val="0"/>
        <w:autoSpaceDN w:val="0"/>
        <w:adjustRightInd w:val="0"/>
        <w:spacing w:before="96" w:after="0" w:line="360" w:lineRule="auto"/>
        <w:ind w:right="1633"/>
        <w:rPr>
          <w:rFonts w:asciiTheme="majorBidi" w:hAnsiTheme="majorBidi" w:cstheme="majorBidi"/>
          <w:sz w:val="24"/>
          <w:szCs w:val="24"/>
        </w:rPr>
      </w:pPr>
      <w:r w:rsidRPr="00FD3F57">
        <w:rPr>
          <w:rFonts w:asciiTheme="majorBidi" w:hAnsiTheme="majorBidi" w:cstheme="majorBidi"/>
          <w:sz w:val="24"/>
          <w:szCs w:val="24"/>
        </w:rPr>
        <w:t>longueur d'onde beaucoup plus petit que le diamètre.</w:t>
      </w:r>
    </w:p>
    <w:p w:rsidR="002B78DD" w:rsidRPr="00FD3F57" w:rsidRDefault="002B78DD" w:rsidP="00FD3F57">
      <w:pPr>
        <w:widowControl w:val="0"/>
        <w:tabs>
          <w:tab w:val="left" w:pos="1480"/>
        </w:tabs>
        <w:autoSpaceDE w:val="0"/>
        <w:autoSpaceDN w:val="0"/>
        <w:adjustRightInd w:val="0"/>
        <w:spacing w:after="0" w:line="360" w:lineRule="auto"/>
        <w:ind w:right="923"/>
        <w:jc w:val="center"/>
        <w:rPr>
          <w:rFonts w:asciiTheme="majorBidi" w:hAnsiTheme="majorBidi" w:cstheme="majorBidi"/>
          <w:sz w:val="24"/>
          <w:szCs w:val="24"/>
        </w:rPr>
      </w:pPr>
      <w:r w:rsidRPr="00FD3F57">
        <w:rPr>
          <w:rFonts w:asciiTheme="majorBidi" w:hAnsiTheme="majorBidi" w:cstheme="majorBidi"/>
          <w:sz w:val="24"/>
          <w:szCs w:val="24"/>
        </w:rPr>
        <w:drawing>
          <wp:inline distT="0" distB="0" distL="0" distR="0">
            <wp:extent cx="4410075" cy="2889885"/>
            <wp:effectExtent l="19050" t="19050" r="28575" b="24765"/>
            <wp:docPr id="4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4410075" cy="2889885"/>
                    </a:xfrm>
                    <a:prstGeom prst="rect">
                      <a:avLst/>
                    </a:prstGeom>
                    <a:noFill/>
                    <a:ln w="9525">
                      <a:solidFill>
                        <a:schemeClr val="tx1"/>
                      </a:solidFill>
                      <a:miter lim="800000"/>
                      <a:headEnd/>
                      <a:tailEnd/>
                    </a:ln>
                  </pic:spPr>
                </pic:pic>
              </a:graphicData>
            </a:graphic>
          </wp:inline>
        </w:drawing>
      </w:r>
    </w:p>
    <w:p w:rsidR="00982B84" w:rsidRPr="00FD3F57" w:rsidRDefault="00B16D8F" w:rsidP="00FD3F57">
      <w:pPr>
        <w:widowControl w:val="0"/>
        <w:autoSpaceDE w:val="0"/>
        <w:autoSpaceDN w:val="0"/>
        <w:adjustRightInd w:val="0"/>
        <w:spacing w:before="16" w:after="0" w:line="360" w:lineRule="auto"/>
        <w:ind w:left="1535" w:right="979" w:hanging="851"/>
        <w:rPr>
          <w:rFonts w:asciiTheme="majorBidi" w:hAnsiTheme="majorBidi" w:cstheme="majorBidi"/>
          <w:b/>
          <w:bCs/>
          <w:sz w:val="24"/>
          <w:szCs w:val="24"/>
        </w:rPr>
      </w:pPr>
      <w:r w:rsidRPr="00FD3F57">
        <w:rPr>
          <w:rFonts w:asciiTheme="majorBidi" w:hAnsiTheme="majorBidi" w:cstheme="majorBidi"/>
          <w:b/>
          <w:bCs/>
          <w:sz w:val="24"/>
          <w:szCs w:val="24"/>
        </w:rPr>
        <w:t xml:space="preserve">Figure 2-5 </w:t>
      </w:r>
      <w:r w:rsidR="002B78DD" w:rsidRPr="00FD3F57">
        <w:rPr>
          <w:rFonts w:asciiTheme="majorBidi" w:hAnsiTheme="majorBidi" w:cstheme="majorBidi"/>
          <w:b/>
          <w:bCs/>
          <w:sz w:val="24"/>
          <w:szCs w:val="24"/>
        </w:rPr>
        <w:t> : Ondes longitudinales dans un milieu étendu.</w:t>
      </w:r>
    </w:p>
    <w:sectPr w:rsidR="00982B84" w:rsidRPr="00FD3F57" w:rsidSect="00D16960">
      <w:headerReference w:type="default" r:id="rId12"/>
      <w:footerReference w:type="default" r:id="rId13"/>
      <w:pgSz w:w="11906" w:h="16838"/>
      <w:pgMar w:top="1418" w:right="1418" w:bottom="1418" w:left="1985" w:header="709" w:footer="709"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47D" w:rsidRDefault="0069447D" w:rsidP="00422668">
      <w:pPr>
        <w:spacing w:after="0" w:line="240" w:lineRule="auto"/>
      </w:pPr>
      <w:r>
        <w:separator/>
      </w:r>
    </w:p>
  </w:endnote>
  <w:endnote w:type="continuationSeparator" w:id="1">
    <w:p w:rsidR="0069447D" w:rsidRDefault="0069447D" w:rsidP="004226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960" w:rsidRPr="00DD5304" w:rsidRDefault="00D16960" w:rsidP="00D16960">
    <w:pPr>
      <w:jc w:val="center"/>
      <w:rPr>
        <w:rFonts w:asciiTheme="majorBidi" w:hAnsiTheme="majorBidi" w:cstheme="majorBidi"/>
        <w:sz w:val="24"/>
        <w:szCs w:val="24"/>
      </w:rPr>
    </w:pPr>
    <w:r w:rsidRPr="00DD5304">
      <w:rPr>
        <w:rFonts w:asciiTheme="majorBidi" w:hAnsiTheme="majorBidi" w:cstheme="majorBidi"/>
        <w:sz w:val="24"/>
        <w:szCs w:val="24"/>
      </w:rPr>
      <w:fldChar w:fldCharType="begin"/>
    </w:r>
    <w:r w:rsidRPr="00DD5304">
      <w:rPr>
        <w:rFonts w:asciiTheme="majorBidi" w:hAnsiTheme="majorBidi" w:cstheme="majorBidi"/>
        <w:sz w:val="24"/>
        <w:szCs w:val="24"/>
      </w:rPr>
      <w:instrText xml:space="preserve"> PAGE    \* MERGEFORMAT </w:instrText>
    </w:r>
    <w:r w:rsidRPr="00DD5304">
      <w:rPr>
        <w:rFonts w:asciiTheme="majorBidi" w:hAnsiTheme="majorBidi" w:cstheme="majorBidi"/>
        <w:sz w:val="24"/>
        <w:szCs w:val="24"/>
      </w:rPr>
      <w:fldChar w:fldCharType="separate"/>
    </w:r>
    <w:r>
      <w:rPr>
        <w:rFonts w:asciiTheme="majorBidi" w:hAnsiTheme="majorBidi" w:cstheme="majorBidi"/>
        <w:noProof/>
        <w:sz w:val="24"/>
        <w:szCs w:val="24"/>
      </w:rPr>
      <w:t>26</w:t>
    </w:r>
    <w:r w:rsidRPr="00DD5304">
      <w:rPr>
        <w:rFonts w:asciiTheme="majorBidi" w:hAnsiTheme="majorBidi" w:cstheme="majorBidi"/>
        <w:sz w:val="24"/>
        <w:szCs w:val="24"/>
      </w:rPr>
      <w:fldChar w:fldCharType="end"/>
    </w:r>
  </w:p>
  <w:p w:rsidR="00D16960" w:rsidRDefault="00D1696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47D" w:rsidRDefault="0069447D" w:rsidP="00422668">
      <w:pPr>
        <w:spacing w:after="0" w:line="240" w:lineRule="auto"/>
      </w:pPr>
      <w:r>
        <w:separator/>
      </w:r>
    </w:p>
  </w:footnote>
  <w:footnote w:type="continuationSeparator" w:id="1">
    <w:p w:rsidR="0069447D" w:rsidRDefault="0069447D" w:rsidP="004226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noProof/>
        <w:color w:val="5F497A" w:themeColor="accent4" w:themeShade="BF"/>
        <w:spacing w:val="1"/>
        <w:sz w:val="32"/>
        <w:szCs w:val="32"/>
      </w:rPr>
      <w:alias w:val="Titre"/>
      <w:id w:val="77738743"/>
      <w:placeholder>
        <w:docPart w:val="F74B6F49856845738235C291383E53DB"/>
      </w:placeholder>
      <w:dataBinding w:prefixMappings="xmlns:ns0='http://schemas.openxmlformats.org/package/2006/metadata/core-properties' xmlns:ns1='http://purl.org/dc/elements/1.1/'" w:xpath="/ns0:coreProperties[1]/ns1:title[1]" w:storeItemID="{6C3C8BC8-F283-45AE-878A-BAB7291924A1}"/>
      <w:text/>
    </w:sdtPr>
    <w:sdtContent>
      <w:p w:rsidR="00914968" w:rsidRDefault="00025D93" w:rsidP="005538AC">
        <w:pPr>
          <w:pStyle w:val="a5"/>
          <w:pBdr>
            <w:bottom w:val="thickThinSmallGap" w:sz="24" w:space="1" w:color="622423" w:themeColor="accent2" w:themeShade="7F"/>
          </w:pBdr>
          <w:rPr>
            <w:rFonts w:asciiTheme="majorHAnsi" w:eastAsiaTheme="majorEastAsia" w:hAnsiTheme="majorHAnsi" w:cstheme="majorBidi"/>
            <w:sz w:val="32"/>
            <w:szCs w:val="32"/>
          </w:rPr>
        </w:pPr>
        <w:r>
          <w:rPr>
            <w:rFonts w:asciiTheme="majorBidi" w:hAnsiTheme="majorBidi" w:cstheme="majorBidi"/>
            <w:noProof/>
            <w:color w:val="5F497A" w:themeColor="accent4" w:themeShade="BF"/>
            <w:spacing w:val="1"/>
            <w:sz w:val="32"/>
            <w:szCs w:val="32"/>
          </w:rPr>
          <w:t>Chapitre1</w:t>
        </w:r>
        <w:r w:rsidR="005538AC" w:rsidRPr="005538AC">
          <w:rPr>
            <w:rFonts w:asciiTheme="majorBidi" w:hAnsiTheme="majorBidi" w:cstheme="majorBidi"/>
            <w:noProof/>
            <w:color w:val="5F497A" w:themeColor="accent4" w:themeShade="BF"/>
            <w:spacing w:val="1"/>
            <w:sz w:val="32"/>
            <w:szCs w:val="32"/>
          </w:rPr>
          <w:t xml:space="preserve">                              Contrôle des matériaux par ultrasons</w:t>
        </w:r>
      </w:p>
    </w:sdtContent>
  </w:sdt>
  <w:p w:rsidR="00914968" w:rsidRDefault="0091496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B797D"/>
    <w:multiLevelType w:val="hybridMultilevel"/>
    <w:tmpl w:val="2A94E39A"/>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
    <w:nsid w:val="11CD0E1F"/>
    <w:multiLevelType w:val="hybridMultilevel"/>
    <w:tmpl w:val="9FDE85F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870464F"/>
    <w:multiLevelType w:val="hybridMultilevel"/>
    <w:tmpl w:val="041ACCBC"/>
    <w:lvl w:ilvl="0" w:tplc="93E654E2">
      <w:start w:val="1"/>
      <w:numFmt w:val="bullet"/>
      <w:lvlText w:val=""/>
      <w:lvlJc w:val="left"/>
      <w:pPr>
        <w:tabs>
          <w:tab w:val="num" w:pos="170"/>
        </w:tabs>
        <w:ind w:left="170" w:hanging="17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9A9038E"/>
    <w:multiLevelType w:val="hybridMultilevel"/>
    <w:tmpl w:val="2D50D4F4"/>
    <w:lvl w:ilvl="0" w:tplc="040C000B">
      <w:start w:val="1"/>
      <w:numFmt w:val="bullet"/>
      <w:lvlText w:val=""/>
      <w:lvlJc w:val="left"/>
      <w:pPr>
        <w:ind w:left="1485" w:hanging="360"/>
      </w:pPr>
      <w:rPr>
        <w:rFonts w:ascii="Wingdings" w:hAnsi="Wingdings"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4">
    <w:nsid w:val="310836CA"/>
    <w:multiLevelType w:val="hybridMultilevel"/>
    <w:tmpl w:val="3F063B58"/>
    <w:lvl w:ilvl="0" w:tplc="C9B23402">
      <w:start w:val="1"/>
      <w:numFmt w:val="bullet"/>
      <w:lvlText w:val="-"/>
      <w:lvlJc w:val="left"/>
      <w:pPr>
        <w:tabs>
          <w:tab w:val="num" w:pos="720"/>
        </w:tabs>
        <w:ind w:left="720" w:hanging="360"/>
      </w:pPr>
      <w:rPr>
        <w:rFonts w:ascii="Times New Roman" w:eastAsia="Times New Roman" w:hAnsi="Times New Roman" w:cs="Times New Roman" w:hint="default"/>
        <w:b/>
        <w:bC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C5D0646"/>
    <w:multiLevelType w:val="hybridMultilevel"/>
    <w:tmpl w:val="BF70AD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04D7A20"/>
    <w:multiLevelType w:val="hybridMultilevel"/>
    <w:tmpl w:val="00D0A94E"/>
    <w:lvl w:ilvl="0" w:tplc="93E654E2">
      <w:start w:val="1"/>
      <w:numFmt w:val="bullet"/>
      <w:lvlText w:val=""/>
      <w:lvlJc w:val="left"/>
      <w:pPr>
        <w:tabs>
          <w:tab w:val="num" w:pos="170"/>
        </w:tabs>
        <w:ind w:left="170" w:hanging="17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8BD2D60"/>
    <w:multiLevelType w:val="hybridMultilevel"/>
    <w:tmpl w:val="F588F8C6"/>
    <w:lvl w:ilvl="0" w:tplc="3C8EA636">
      <w:start w:val="1"/>
      <w:numFmt w:val="lowerLetter"/>
      <w:lvlText w:val="%1)"/>
      <w:lvlJc w:val="left"/>
      <w:pPr>
        <w:ind w:left="218" w:hanging="360"/>
      </w:pPr>
      <w:rPr>
        <w:rFonts w:hint="default"/>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8">
    <w:nsid w:val="57B619DB"/>
    <w:multiLevelType w:val="hybridMultilevel"/>
    <w:tmpl w:val="425C500E"/>
    <w:lvl w:ilvl="0" w:tplc="040C000D">
      <w:start w:val="1"/>
      <w:numFmt w:val="bullet"/>
      <w:lvlText w:val=""/>
      <w:lvlJc w:val="left"/>
      <w:pPr>
        <w:ind w:left="1355" w:hanging="360"/>
      </w:pPr>
      <w:rPr>
        <w:rFonts w:ascii="Wingdings" w:hAnsi="Wingdings" w:hint="default"/>
      </w:rPr>
    </w:lvl>
    <w:lvl w:ilvl="1" w:tplc="040C0003" w:tentative="1">
      <w:start w:val="1"/>
      <w:numFmt w:val="bullet"/>
      <w:lvlText w:val="o"/>
      <w:lvlJc w:val="left"/>
      <w:pPr>
        <w:ind w:left="2075" w:hanging="360"/>
      </w:pPr>
      <w:rPr>
        <w:rFonts w:ascii="Courier New" w:hAnsi="Courier New" w:cs="Courier New" w:hint="default"/>
      </w:rPr>
    </w:lvl>
    <w:lvl w:ilvl="2" w:tplc="040C0005" w:tentative="1">
      <w:start w:val="1"/>
      <w:numFmt w:val="bullet"/>
      <w:lvlText w:val=""/>
      <w:lvlJc w:val="left"/>
      <w:pPr>
        <w:ind w:left="2795" w:hanging="360"/>
      </w:pPr>
      <w:rPr>
        <w:rFonts w:ascii="Wingdings" w:hAnsi="Wingdings" w:hint="default"/>
      </w:rPr>
    </w:lvl>
    <w:lvl w:ilvl="3" w:tplc="040C0001" w:tentative="1">
      <w:start w:val="1"/>
      <w:numFmt w:val="bullet"/>
      <w:lvlText w:val=""/>
      <w:lvlJc w:val="left"/>
      <w:pPr>
        <w:ind w:left="3515" w:hanging="360"/>
      </w:pPr>
      <w:rPr>
        <w:rFonts w:ascii="Symbol" w:hAnsi="Symbol" w:hint="default"/>
      </w:rPr>
    </w:lvl>
    <w:lvl w:ilvl="4" w:tplc="040C0003" w:tentative="1">
      <w:start w:val="1"/>
      <w:numFmt w:val="bullet"/>
      <w:lvlText w:val="o"/>
      <w:lvlJc w:val="left"/>
      <w:pPr>
        <w:ind w:left="4235" w:hanging="360"/>
      </w:pPr>
      <w:rPr>
        <w:rFonts w:ascii="Courier New" w:hAnsi="Courier New" w:cs="Courier New" w:hint="default"/>
      </w:rPr>
    </w:lvl>
    <w:lvl w:ilvl="5" w:tplc="040C0005" w:tentative="1">
      <w:start w:val="1"/>
      <w:numFmt w:val="bullet"/>
      <w:lvlText w:val=""/>
      <w:lvlJc w:val="left"/>
      <w:pPr>
        <w:ind w:left="4955" w:hanging="360"/>
      </w:pPr>
      <w:rPr>
        <w:rFonts w:ascii="Wingdings" w:hAnsi="Wingdings" w:hint="default"/>
      </w:rPr>
    </w:lvl>
    <w:lvl w:ilvl="6" w:tplc="040C0001" w:tentative="1">
      <w:start w:val="1"/>
      <w:numFmt w:val="bullet"/>
      <w:lvlText w:val=""/>
      <w:lvlJc w:val="left"/>
      <w:pPr>
        <w:ind w:left="5675" w:hanging="360"/>
      </w:pPr>
      <w:rPr>
        <w:rFonts w:ascii="Symbol" w:hAnsi="Symbol" w:hint="default"/>
      </w:rPr>
    </w:lvl>
    <w:lvl w:ilvl="7" w:tplc="040C0003" w:tentative="1">
      <w:start w:val="1"/>
      <w:numFmt w:val="bullet"/>
      <w:lvlText w:val="o"/>
      <w:lvlJc w:val="left"/>
      <w:pPr>
        <w:ind w:left="6395" w:hanging="360"/>
      </w:pPr>
      <w:rPr>
        <w:rFonts w:ascii="Courier New" w:hAnsi="Courier New" w:cs="Courier New" w:hint="default"/>
      </w:rPr>
    </w:lvl>
    <w:lvl w:ilvl="8" w:tplc="040C0005" w:tentative="1">
      <w:start w:val="1"/>
      <w:numFmt w:val="bullet"/>
      <w:lvlText w:val=""/>
      <w:lvlJc w:val="left"/>
      <w:pPr>
        <w:ind w:left="7115" w:hanging="360"/>
      </w:pPr>
      <w:rPr>
        <w:rFonts w:ascii="Wingdings" w:hAnsi="Wingdings" w:hint="default"/>
      </w:rPr>
    </w:lvl>
  </w:abstractNum>
  <w:abstractNum w:abstractNumId="9">
    <w:nsid w:val="595E3A75"/>
    <w:multiLevelType w:val="multilevel"/>
    <w:tmpl w:val="F042BC54"/>
    <w:lvl w:ilvl="0">
      <w:start w:val="1"/>
      <w:numFmt w:val="decimal"/>
      <w:lvlText w:val="%1"/>
      <w:lvlJc w:val="left"/>
      <w:pPr>
        <w:ind w:left="1005" w:hanging="1005"/>
      </w:pPr>
      <w:rPr>
        <w:rFonts w:hint="default"/>
      </w:rPr>
    </w:lvl>
    <w:lvl w:ilvl="1">
      <w:start w:val="1"/>
      <w:numFmt w:val="decimal"/>
      <w:lvlText w:val="%1-%2"/>
      <w:lvlJc w:val="left"/>
      <w:pPr>
        <w:ind w:left="1005" w:hanging="1005"/>
      </w:pPr>
      <w:rPr>
        <w:rFonts w:hint="default"/>
      </w:rPr>
    </w:lvl>
    <w:lvl w:ilvl="2">
      <w:start w:val="12"/>
      <w:numFmt w:val="decimal"/>
      <w:lvlText w:val="%1-%2-%3"/>
      <w:lvlJc w:val="left"/>
      <w:pPr>
        <w:ind w:left="1005" w:hanging="1005"/>
      </w:pPr>
      <w:rPr>
        <w:rFonts w:hint="default"/>
      </w:rPr>
    </w:lvl>
    <w:lvl w:ilvl="3">
      <w:start w:val="3"/>
      <w:numFmt w:val="decimal"/>
      <w:lvlText w:val="%1-%2-%3-%4"/>
      <w:lvlJc w:val="left"/>
      <w:pPr>
        <w:ind w:left="1080" w:hanging="1080"/>
      </w:pPr>
      <w:rPr>
        <w:rFonts w:hint="default"/>
        <w:sz w:val="32"/>
        <w:szCs w:val="32"/>
      </w:rPr>
    </w:lvl>
    <w:lvl w:ilvl="4">
      <w:start w:val="1"/>
      <w:numFmt w:val="lowerLetter"/>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28E3D22"/>
    <w:multiLevelType w:val="hybridMultilevel"/>
    <w:tmpl w:val="0E24008A"/>
    <w:lvl w:ilvl="0" w:tplc="93E654E2">
      <w:start w:val="1"/>
      <w:numFmt w:val="bullet"/>
      <w:lvlText w:val=""/>
      <w:lvlJc w:val="left"/>
      <w:pPr>
        <w:tabs>
          <w:tab w:val="num" w:pos="170"/>
        </w:tabs>
        <w:ind w:left="170" w:hanging="17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F1341B1"/>
    <w:multiLevelType w:val="hybridMultilevel"/>
    <w:tmpl w:val="D2268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1"/>
  </w:num>
  <w:num w:numId="3">
    <w:abstractNumId w:val="1"/>
  </w:num>
  <w:num w:numId="4">
    <w:abstractNumId w:val="8"/>
  </w:num>
  <w:num w:numId="5">
    <w:abstractNumId w:val="7"/>
  </w:num>
  <w:num w:numId="6">
    <w:abstractNumId w:val="9"/>
  </w:num>
  <w:num w:numId="7">
    <w:abstractNumId w:val="5"/>
  </w:num>
  <w:num w:numId="8">
    <w:abstractNumId w:val="6"/>
  </w:num>
  <w:num w:numId="9">
    <w:abstractNumId w:val="2"/>
  </w:num>
  <w:num w:numId="10">
    <w:abstractNumId w:val="4"/>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B78DD"/>
    <w:rsid w:val="00025D93"/>
    <w:rsid w:val="00262B1A"/>
    <w:rsid w:val="002B78DD"/>
    <w:rsid w:val="002E3D0D"/>
    <w:rsid w:val="00422668"/>
    <w:rsid w:val="004A2C32"/>
    <w:rsid w:val="004C7C80"/>
    <w:rsid w:val="0053797F"/>
    <w:rsid w:val="005538AC"/>
    <w:rsid w:val="0069447D"/>
    <w:rsid w:val="00751F31"/>
    <w:rsid w:val="007E45C5"/>
    <w:rsid w:val="00914968"/>
    <w:rsid w:val="00923D01"/>
    <w:rsid w:val="0096503C"/>
    <w:rsid w:val="00982B84"/>
    <w:rsid w:val="00990181"/>
    <w:rsid w:val="009A6281"/>
    <w:rsid w:val="00A36A02"/>
    <w:rsid w:val="00AD3FCE"/>
    <w:rsid w:val="00B16D8F"/>
    <w:rsid w:val="00C420E3"/>
    <w:rsid w:val="00D16960"/>
    <w:rsid w:val="00EA386A"/>
    <w:rsid w:val="00FD3F5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8DD"/>
    <w:pPr>
      <w:spacing w:line="276" w:lineRule="auto"/>
      <w:jc w:val="left"/>
    </w:pPr>
  </w:style>
  <w:style w:type="paragraph" w:styleId="1">
    <w:name w:val="heading 1"/>
    <w:basedOn w:val="a"/>
    <w:next w:val="a"/>
    <w:link w:val="1Char"/>
    <w:qFormat/>
    <w:rsid w:val="002B78DD"/>
    <w:pPr>
      <w:keepNext/>
      <w:bidi/>
      <w:spacing w:after="0" w:line="240" w:lineRule="auto"/>
      <w:jc w:val="center"/>
      <w:outlineLvl w:val="0"/>
    </w:pPr>
    <w:rPr>
      <w:rFonts w:ascii="Arial" w:eastAsia="Times New Roman" w:hAnsi="Arial" w:cs="Traditional Arabic"/>
      <w:b/>
      <w:bCs/>
      <w:sz w:val="40"/>
      <w:szCs w:val="40"/>
      <w:lang w:bidi="ar-DZ"/>
    </w:rPr>
  </w:style>
  <w:style w:type="paragraph" w:styleId="2">
    <w:name w:val="heading 2"/>
    <w:basedOn w:val="a"/>
    <w:next w:val="a"/>
    <w:link w:val="2Char"/>
    <w:uiPriority w:val="9"/>
    <w:unhideWhenUsed/>
    <w:qFormat/>
    <w:rsid w:val="002B78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qFormat/>
    <w:rsid w:val="002B78DD"/>
    <w:pPr>
      <w:keepNext/>
      <w:spacing w:after="0" w:line="240" w:lineRule="auto"/>
      <w:jc w:val="center"/>
      <w:outlineLvl w:val="2"/>
    </w:pPr>
    <w:rPr>
      <w:rFonts w:ascii="Arial" w:eastAsia="Times New Roman" w:hAnsi="Arial" w:cs="Traditional Arabic"/>
      <w:b/>
      <w:bCs/>
      <w:sz w:val="32"/>
      <w:szCs w:val="32"/>
      <w:lang w:bidi="ar-DZ"/>
    </w:rPr>
  </w:style>
  <w:style w:type="paragraph" w:styleId="4">
    <w:name w:val="heading 4"/>
    <w:basedOn w:val="a"/>
    <w:next w:val="a"/>
    <w:link w:val="4Char"/>
    <w:qFormat/>
    <w:rsid w:val="002B78DD"/>
    <w:pPr>
      <w:keepNext/>
      <w:spacing w:after="0" w:line="240" w:lineRule="auto"/>
      <w:outlineLvl w:val="3"/>
    </w:pPr>
    <w:rPr>
      <w:rFonts w:ascii="Times New Roman" w:eastAsia="Times New Roman" w:hAnsi="Times New Roman" w:cs="Times New Roman"/>
      <w:sz w:val="32"/>
      <w:szCs w:val="32"/>
      <w:lang w:bidi="ar-DZ"/>
    </w:rPr>
  </w:style>
  <w:style w:type="paragraph" w:styleId="5">
    <w:name w:val="heading 5"/>
    <w:basedOn w:val="a"/>
    <w:next w:val="a"/>
    <w:link w:val="5Char"/>
    <w:qFormat/>
    <w:rsid w:val="002B78DD"/>
    <w:pPr>
      <w:keepNext/>
      <w:spacing w:after="0" w:line="240" w:lineRule="auto"/>
      <w:jc w:val="center"/>
      <w:outlineLvl w:val="4"/>
    </w:pPr>
    <w:rPr>
      <w:rFonts w:ascii="Times New Roman" w:eastAsia="Times New Roman" w:hAnsi="Times New Roman" w:cs="Times New Roman"/>
      <w:b/>
      <w:bCs/>
      <w:sz w:val="36"/>
      <w:szCs w:val="36"/>
      <w:lang w:bidi="ar-DZ"/>
    </w:rPr>
  </w:style>
  <w:style w:type="paragraph" w:styleId="6">
    <w:name w:val="heading 6"/>
    <w:basedOn w:val="a"/>
    <w:next w:val="a"/>
    <w:link w:val="6Char"/>
    <w:qFormat/>
    <w:rsid w:val="002B78DD"/>
    <w:pPr>
      <w:keepNext/>
      <w:spacing w:after="0" w:line="240" w:lineRule="auto"/>
      <w:jc w:val="center"/>
      <w:outlineLvl w:val="5"/>
    </w:pPr>
    <w:rPr>
      <w:rFonts w:ascii="Times New Roman" w:eastAsia="Times New Roman" w:hAnsi="Times New Roman" w:cs="Times New Roman"/>
      <w:sz w:val="36"/>
      <w:szCs w:val="36"/>
      <w:lang w:bidi="ar-D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2B78DD"/>
    <w:rPr>
      <w:rFonts w:ascii="Arial" w:eastAsia="Times New Roman" w:hAnsi="Arial" w:cs="Traditional Arabic"/>
      <w:b/>
      <w:bCs/>
      <w:sz w:val="40"/>
      <w:szCs w:val="40"/>
      <w:lang w:bidi="ar-DZ"/>
    </w:rPr>
  </w:style>
  <w:style w:type="character" w:customStyle="1" w:styleId="2Char">
    <w:name w:val="عنوان 2 Char"/>
    <w:basedOn w:val="a0"/>
    <w:link w:val="2"/>
    <w:uiPriority w:val="9"/>
    <w:rsid w:val="002B78DD"/>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rsid w:val="002B78DD"/>
    <w:rPr>
      <w:rFonts w:ascii="Arial" w:eastAsia="Times New Roman" w:hAnsi="Arial" w:cs="Traditional Arabic"/>
      <w:b/>
      <w:bCs/>
      <w:sz w:val="32"/>
      <w:szCs w:val="32"/>
      <w:lang w:bidi="ar-DZ"/>
    </w:rPr>
  </w:style>
  <w:style w:type="character" w:customStyle="1" w:styleId="4Char">
    <w:name w:val="عنوان 4 Char"/>
    <w:basedOn w:val="a0"/>
    <w:link w:val="4"/>
    <w:rsid w:val="002B78DD"/>
    <w:rPr>
      <w:rFonts w:ascii="Times New Roman" w:eastAsia="Times New Roman" w:hAnsi="Times New Roman" w:cs="Times New Roman"/>
      <w:sz w:val="32"/>
      <w:szCs w:val="32"/>
      <w:lang w:bidi="ar-DZ"/>
    </w:rPr>
  </w:style>
  <w:style w:type="character" w:customStyle="1" w:styleId="5Char">
    <w:name w:val="عنوان 5 Char"/>
    <w:basedOn w:val="a0"/>
    <w:link w:val="5"/>
    <w:rsid w:val="002B78DD"/>
    <w:rPr>
      <w:rFonts w:ascii="Times New Roman" w:eastAsia="Times New Roman" w:hAnsi="Times New Roman" w:cs="Times New Roman"/>
      <w:b/>
      <w:bCs/>
      <w:sz w:val="36"/>
      <w:szCs w:val="36"/>
      <w:lang w:bidi="ar-DZ"/>
    </w:rPr>
  </w:style>
  <w:style w:type="character" w:customStyle="1" w:styleId="6Char">
    <w:name w:val="عنوان 6 Char"/>
    <w:basedOn w:val="a0"/>
    <w:link w:val="6"/>
    <w:rsid w:val="002B78DD"/>
    <w:rPr>
      <w:rFonts w:ascii="Times New Roman" w:eastAsia="Times New Roman" w:hAnsi="Times New Roman" w:cs="Times New Roman"/>
      <w:sz w:val="36"/>
      <w:szCs w:val="36"/>
      <w:lang w:bidi="ar-DZ"/>
    </w:rPr>
  </w:style>
  <w:style w:type="paragraph" w:styleId="10">
    <w:name w:val="toc 1"/>
    <w:basedOn w:val="a"/>
    <w:next w:val="a"/>
    <w:autoRedefine/>
    <w:uiPriority w:val="39"/>
    <w:unhideWhenUsed/>
    <w:rsid w:val="002B78DD"/>
    <w:pPr>
      <w:tabs>
        <w:tab w:val="right" w:leader="dot" w:pos="9344"/>
      </w:tabs>
      <w:spacing w:after="100"/>
      <w:jc w:val="center"/>
    </w:pPr>
    <w:rPr>
      <w:rFonts w:asciiTheme="majorBidi" w:hAnsiTheme="majorBidi" w:cstheme="majorBidi"/>
      <w:noProof/>
      <w:spacing w:val="1"/>
      <w:sz w:val="32"/>
      <w:szCs w:val="32"/>
    </w:rPr>
  </w:style>
  <w:style w:type="character" w:styleId="Hyperlink">
    <w:name w:val="Hyperlink"/>
    <w:basedOn w:val="a0"/>
    <w:uiPriority w:val="99"/>
    <w:unhideWhenUsed/>
    <w:rsid w:val="002B78DD"/>
    <w:rPr>
      <w:color w:val="0000FF" w:themeColor="hyperlink"/>
      <w:u w:val="single"/>
    </w:rPr>
  </w:style>
  <w:style w:type="paragraph" w:styleId="a3">
    <w:name w:val="Balloon Text"/>
    <w:basedOn w:val="a"/>
    <w:link w:val="Char"/>
    <w:uiPriority w:val="99"/>
    <w:semiHidden/>
    <w:unhideWhenUsed/>
    <w:rsid w:val="002B78D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B78DD"/>
    <w:rPr>
      <w:rFonts w:ascii="Tahoma" w:hAnsi="Tahoma" w:cs="Tahoma"/>
      <w:sz w:val="16"/>
      <w:szCs w:val="16"/>
    </w:rPr>
  </w:style>
  <w:style w:type="paragraph" w:styleId="a4">
    <w:name w:val="List Paragraph"/>
    <w:basedOn w:val="a"/>
    <w:uiPriority w:val="34"/>
    <w:qFormat/>
    <w:rsid w:val="002B78DD"/>
    <w:pPr>
      <w:ind w:left="720"/>
      <w:contextualSpacing/>
    </w:pPr>
    <w:rPr>
      <w:rFonts w:asciiTheme="majorBidi" w:eastAsiaTheme="minorEastAsia" w:hAnsiTheme="majorBidi" w:cstheme="majorBidi"/>
      <w:noProof/>
      <w:sz w:val="24"/>
      <w:szCs w:val="24"/>
      <w:lang w:eastAsia="fr-FR"/>
    </w:rPr>
  </w:style>
  <w:style w:type="paragraph" w:styleId="a5">
    <w:name w:val="header"/>
    <w:basedOn w:val="a"/>
    <w:link w:val="Char0"/>
    <w:uiPriority w:val="99"/>
    <w:unhideWhenUsed/>
    <w:rsid w:val="002B78DD"/>
    <w:pPr>
      <w:tabs>
        <w:tab w:val="center" w:pos="4153"/>
        <w:tab w:val="right" w:pos="8306"/>
      </w:tabs>
      <w:spacing w:after="0" w:line="240" w:lineRule="auto"/>
    </w:pPr>
  </w:style>
  <w:style w:type="character" w:customStyle="1" w:styleId="Char0">
    <w:name w:val="رأس صفحة Char"/>
    <w:basedOn w:val="a0"/>
    <w:link w:val="a5"/>
    <w:uiPriority w:val="99"/>
    <w:rsid w:val="002B78DD"/>
  </w:style>
  <w:style w:type="paragraph" w:styleId="a6">
    <w:name w:val="footer"/>
    <w:basedOn w:val="a"/>
    <w:link w:val="Char1"/>
    <w:uiPriority w:val="99"/>
    <w:unhideWhenUsed/>
    <w:rsid w:val="002B78DD"/>
    <w:pPr>
      <w:tabs>
        <w:tab w:val="center" w:pos="4153"/>
        <w:tab w:val="right" w:pos="8306"/>
      </w:tabs>
      <w:spacing w:after="0" w:line="240" w:lineRule="auto"/>
    </w:pPr>
  </w:style>
  <w:style w:type="character" w:customStyle="1" w:styleId="Char1">
    <w:name w:val="تذييل صفحة Char"/>
    <w:basedOn w:val="a0"/>
    <w:link w:val="a6"/>
    <w:uiPriority w:val="99"/>
    <w:rsid w:val="002B78DD"/>
  </w:style>
  <w:style w:type="table" w:styleId="a7">
    <w:name w:val="Table Grid"/>
    <w:basedOn w:val="a1"/>
    <w:uiPriority w:val="59"/>
    <w:rsid w:val="002B78DD"/>
    <w:pPr>
      <w:spacing w:after="0"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2B78DD"/>
    <w:pPr>
      <w:spacing w:after="0" w:line="240" w:lineRule="auto"/>
      <w:jc w:val="left"/>
    </w:pPr>
  </w:style>
  <w:style w:type="paragraph" w:customStyle="1" w:styleId="11">
    <w:name w:val="نمط1"/>
    <w:basedOn w:val="a"/>
    <w:rsid w:val="002B78DD"/>
    <w:pPr>
      <w:spacing w:after="0" w:line="240" w:lineRule="auto"/>
    </w:pPr>
    <w:rPr>
      <w:rFonts w:ascii="Times New Roman" w:eastAsia="Times New Roman" w:hAnsi="Times New Roman" w:cs="Traditional Arabic"/>
      <w:sz w:val="28"/>
      <w:szCs w:val="20"/>
      <w:lang w:eastAsia="fr-FR"/>
    </w:rPr>
  </w:style>
  <w:style w:type="paragraph" w:styleId="a9">
    <w:name w:val="Body Text"/>
    <w:basedOn w:val="a"/>
    <w:link w:val="Char2"/>
    <w:rsid w:val="002B78DD"/>
    <w:pPr>
      <w:autoSpaceDE w:val="0"/>
      <w:autoSpaceDN w:val="0"/>
      <w:spacing w:after="0" w:line="360" w:lineRule="auto"/>
      <w:jc w:val="both"/>
    </w:pPr>
    <w:rPr>
      <w:rFonts w:ascii="Times New Roman" w:eastAsia="Times New Roman" w:hAnsi="Times New Roman" w:cs="Times New Roman"/>
      <w:sz w:val="24"/>
      <w:szCs w:val="24"/>
      <w:lang w:eastAsia="fr-FR"/>
    </w:rPr>
  </w:style>
  <w:style w:type="character" w:customStyle="1" w:styleId="Char2">
    <w:name w:val="نص أساسي Char"/>
    <w:basedOn w:val="a0"/>
    <w:link w:val="a9"/>
    <w:rsid w:val="002B78DD"/>
    <w:rPr>
      <w:rFonts w:ascii="Times New Roman" w:eastAsia="Times New Roman" w:hAnsi="Times New Roman" w:cs="Times New Roman"/>
      <w:sz w:val="24"/>
      <w:szCs w:val="24"/>
      <w:lang w:eastAsia="fr-FR"/>
    </w:rPr>
  </w:style>
  <w:style w:type="paragraph" w:styleId="aa">
    <w:name w:val="footnote text"/>
    <w:basedOn w:val="a"/>
    <w:link w:val="Char3"/>
    <w:uiPriority w:val="99"/>
    <w:semiHidden/>
    <w:unhideWhenUsed/>
    <w:rsid w:val="002B78DD"/>
    <w:pPr>
      <w:spacing w:after="0" w:line="240" w:lineRule="auto"/>
    </w:pPr>
    <w:rPr>
      <w:sz w:val="20"/>
      <w:szCs w:val="20"/>
    </w:rPr>
  </w:style>
  <w:style w:type="character" w:customStyle="1" w:styleId="Char3">
    <w:name w:val="نص حاشية سفلية Char"/>
    <w:basedOn w:val="a0"/>
    <w:link w:val="aa"/>
    <w:uiPriority w:val="99"/>
    <w:semiHidden/>
    <w:rsid w:val="002B78DD"/>
    <w:rPr>
      <w:sz w:val="20"/>
      <w:szCs w:val="20"/>
    </w:rPr>
  </w:style>
  <w:style w:type="character" w:styleId="ab">
    <w:name w:val="footnote reference"/>
    <w:basedOn w:val="a0"/>
    <w:uiPriority w:val="99"/>
    <w:semiHidden/>
    <w:unhideWhenUsed/>
    <w:rsid w:val="002B78DD"/>
    <w:rPr>
      <w:vertAlign w:val="superscript"/>
    </w:rPr>
  </w:style>
  <w:style w:type="character" w:styleId="ac">
    <w:name w:val="FollowedHyperlink"/>
    <w:basedOn w:val="a0"/>
    <w:uiPriority w:val="99"/>
    <w:semiHidden/>
    <w:unhideWhenUsed/>
    <w:rsid w:val="002B78D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74B6F49856845738235C291383E53DB"/>
        <w:category>
          <w:name w:val="عام"/>
          <w:gallery w:val="placeholder"/>
        </w:category>
        <w:types>
          <w:type w:val="bbPlcHdr"/>
        </w:types>
        <w:behaviors>
          <w:behavior w:val="content"/>
        </w:behaviors>
        <w:guid w:val="{CFBE565C-8EC6-470D-8FAA-360B3CAE0EF9}"/>
      </w:docPartPr>
      <w:docPartBody>
        <w:p w:rsidR="00493A04" w:rsidRDefault="00105480" w:rsidP="00105480">
          <w:pPr>
            <w:pStyle w:val="F74B6F49856845738235C291383E53D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05480"/>
    <w:rsid w:val="00076A4C"/>
    <w:rsid w:val="00105480"/>
    <w:rsid w:val="00383828"/>
    <w:rsid w:val="00386C08"/>
    <w:rsid w:val="00493A04"/>
    <w:rsid w:val="00711BDF"/>
    <w:rsid w:val="009A37C4"/>
    <w:rsid w:val="00F8606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A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74B6F49856845738235C291383E53DB">
    <w:name w:val="F74B6F49856845738235C291383E53DB"/>
    <w:rsid w:val="0010548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1078</Words>
  <Characters>5935</Characters>
  <Application>Microsoft Office Word</Application>
  <DocSecurity>0</DocSecurity>
  <Lines>49</Lines>
  <Paragraphs>13</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Chapitre1                              Contrôle des matériaux par ultrasons</dc:title>
  <dc:creator>Samsung</dc:creator>
  <cp:lastModifiedBy>Samsung</cp:lastModifiedBy>
  <cp:revision>6</cp:revision>
  <dcterms:created xsi:type="dcterms:W3CDTF">2016-05-28T03:08:00Z</dcterms:created>
  <dcterms:modified xsi:type="dcterms:W3CDTF">2016-06-18T15:06:00Z</dcterms:modified>
</cp:coreProperties>
</file>